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3254" w14:textId="3EA141FC" w:rsidR="0017124F" w:rsidRPr="00BA78A3" w:rsidRDefault="00D72958" w:rsidP="00B136EC">
      <w:pPr>
        <w:pStyle w:val="Heading1A"/>
        <w:rPr>
          <w:bCs/>
          <w:sz w:val="36"/>
          <w:szCs w:val="12"/>
        </w:rPr>
      </w:pPr>
      <w:r w:rsidRPr="00BA78A3">
        <w:t>Modèle de mise en correspondance</w:t>
      </w:r>
    </w:p>
    <w:p w14:paraId="5431CF2B" w14:textId="61B49832" w:rsidR="00B108A3" w:rsidRPr="00BA78A3" w:rsidRDefault="00704848" w:rsidP="00B136EC">
      <w:pPr>
        <w:pStyle w:val="Heading2A"/>
      </w:pPr>
      <w:r w:rsidRPr="00BA78A3">
        <w:t>Le Cadre canadien sur la qualité des soins et la sécurité des patients pour les services de santé</w:t>
      </w:r>
    </w:p>
    <w:p w14:paraId="0A4845A7" w14:textId="3C7BB789" w:rsidR="005A0508" w:rsidRPr="002F3A88" w:rsidRDefault="00526620" w:rsidP="005A0508">
      <w:pPr>
        <w:pStyle w:val="HeadLevel4Framework-Styles"/>
        <w:rPr>
          <w:rFonts w:asciiTheme="minorHAnsi" w:hAnsiTheme="minorHAnsi" w:cstheme="minorBidi"/>
          <w:b/>
          <w:noProof/>
          <w:lang w:val="fr-CA"/>
        </w:rPr>
      </w:pPr>
      <w:r w:rsidRPr="00BA78A3">
        <w:rPr>
          <w:rFonts w:asciiTheme="minorHAnsi" w:hAnsiTheme="minorHAnsi" w:cstheme="minorHAnsi"/>
          <w:b/>
          <w:noProof/>
          <w:lang w:val="fr-CA"/>
        </w:rPr>
        <w:t>Utilisez ce modèle pour mettre en correspondance vos initiatives actuelles d’amélioration de la qualité des soins et de la sécurité des patients avec les buts, les objectifs et les résultats du Cadre</w:t>
      </w:r>
      <w:r w:rsidR="0085663D" w:rsidRPr="00BA78A3">
        <w:rPr>
          <w:rFonts w:asciiTheme="minorHAnsi" w:hAnsiTheme="minorHAnsi" w:cstheme="minorHAnsi"/>
          <w:b/>
          <w:noProof/>
          <w:lang w:val="fr-CA"/>
        </w:rPr>
        <w:t>.</w:t>
      </w:r>
      <w:r w:rsidR="004F7937" w:rsidRPr="00BA78A3">
        <w:rPr>
          <w:rFonts w:asciiTheme="minorHAnsi" w:hAnsiTheme="minorHAnsi" w:cstheme="minorHAnsi"/>
          <w:b/>
          <w:noProof/>
          <w:lang w:val="fr-CA"/>
        </w:rPr>
        <w:t xml:space="preserve"> </w:t>
      </w:r>
      <w:r w:rsidR="00E7124E" w:rsidRPr="00BA78A3">
        <w:rPr>
          <w:rFonts w:asciiTheme="minorHAnsi" w:hAnsiTheme="minorHAnsi" w:cstheme="minorHAnsi"/>
          <w:b/>
          <w:noProof/>
          <w:lang w:val="fr-CA"/>
        </w:rPr>
        <w:t>Lorsque vous aurez terminé</w:t>
      </w:r>
      <w:r w:rsidRPr="00BA78A3">
        <w:rPr>
          <w:rFonts w:asciiTheme="minorHAnsi" w:hAnsiTheme="minorHAnsi" w:cstheme="minorHAnsi"/>
          <w:b/>
          <w:noProof/>
          <w:lang w:val="fr-CA"/>
        </w:rPr>
        <w:t>, veuillez envisager d</w:t>
      </w:r>
      <w:r w:rsidR="00584E58" w:rsidRPr="00BA78A3">
        <w:rPr>
          <w:rFonts w:asciiTheme="minorHAnsi" w:hAnsiTheme="minorHAnsi" w:cstheme="minorHAnsi"/>
          <w:b/>
          <w:noProof/>
          <w:lang w:val="fr-CA"/>
        </w:rPr>
        <w:t>’</w:t>
      </w:r>
      <w:r w:rsidRPr="00BA78A3">
        <w:rPr>
          <w:rFonts w:asciiTheme="minorHAnsi" w:hAnsiTheme="minorHAnsi" w:cstheme="minorHAnsi"/>
          <w:b/>
          <w:noProof/>
          <w:lang w:val="fr-CA"/>
        </w:rPr>
        <w:t>envoyer un courriel à</w:t>
      </w:r>
      <w:r w:rsidR="00584E58" w:rsidRPr="00BA78A3">
        <w:rPr>
          <w:rFonts w:asciiTheme="minorHAnsi" w:hAnsiTheme="minorHAnsi" w:cstheme="minorHAnsi"/>
          <w:b/>
          <w:noProof/>
          <w:lang w:val="fr-CA"/>
        </w:rPr>
        <w:t xml:space="preserve"> </w:t>
      </w:r>
      <w:r w:rsidR="00D95DF2" w:rsidRPr="00BA78A3">
        <w:rPr>
          <w:rFonts w:asciiTheme="minorHAnsi" w:hAnsiTheme="minorHAnsi" w:cstheme="minorBidi"/>
          <w:b/>
          <w:noProof/>
          <w:color w:val="4472C4" w:themeColor="accent1"/>
          <w:lang w:val="fr-CA"/>
        </w:rPr>
        <w:t>ServicesDeQualitéPourTous@healthstandards.org</w:t>
      </w:r>
      <w:r w:rsidR="005A0508" w:rsidRPr="00BA78A3">
        <w:rPr>
          <w:rFonts w:asciiTheme="minorHAnsi" w:hAnsiTheme="minorHAnsi" w:cstheme="minorBidi"/>
          <w:b/>
          <w:noProof/>
          <w:lang w:val="fr-CA"/>
        </w:rPr>
        <w:t xml:space="preserve"> </w:t>
      </w:r>
      <w:r w:rsidRPr="00BA78A3">
        <w:rPr>
          <w:rFonts w:asciiTheme="minorHAnsi" w:hAnsiTheme="minorHAnsi" w:cstheme="minorBidi"/>
          <w:b/>
          <w:noProof/>
          <w:lang w:val="fr-CA"/>
        </w:rPr>
        <w:t xml:space="preserve">et </w:t>
      </w:r>
      <w:r w:rsidR="00584E58" w:rsidRPr="00BA78A3">
        <w:rPr>
          <w:rFonts w:asciiTheme="minorHAnsi" w:hAnsiTheme="minorHAnsi" w:cstheme="minorBidi"/>
          <w:b/>
          <w:noProof/>
          <w:lang w:val="fr-CA"/>
        </w:rPr>
        <w:t>ainsi</w:t>
      </w:r>
      <w:r w:rsidRPr="00BA78A3">
        <w:rPr>
          <w:rFonts w:asciiTheme="minorHAnsi" w:hAnsiTheme="minorHAnsi" w:cstheme="minorBidi"/>
          <w:b/>
          <w:noProof/>
          <w:lang w:val="fr-CA"/>
        </w:rPr>
        <w:t xml:space="preserve"> partager votre expérience de l</w:t>
      </w:r>
      <w:r w:rsidR="00584E58" w:rsidRPr="00BA78A3">
        <w:rPr>
          <w:rFonts w:asciiTheme="minorHAnsi" w:hAnsiTheme="minorHAnsi" w:cstheme="minorBidi"/>
          <w:b/>
          <w:noProof/>
          <w:lang w:val="fr-CA"/>
        </w:rPr>
        <w:t>’</w:t>
      </w:r>
      <w:r w:rsidRPr="00BA78A3">
        <w:rPr>
          <w:rFonts w:asciiTheme="minorHAnsi" w:hAnsiTheme="minorHAnsi" w:cstheme="minorBidi"/>
          <w:b/>
          <w:noProof/>
          <w:lang w:val="fr-CA"/>
        </w:rPr>
        <w:t xml:space="preserve">utilisation du Cadre </w:t>
      </w:r>
      <w:r w:rsidR="00584E58" w:rsidRPr="00BA78A3">
        <w:rPr>
          <w:rFonts w:asciiTheme="minorHAnsi" w:hAnsiTheme="minorHAnsi" w:cstheme="minorBidi"/>
          <w:b/>
          <w:noProof/>
          <w:lang w:val="fr-CA"/>
        </w:rPr>
        <w:t>afin</w:t>
      </w:r>
      <w:r w:rsidRPr="00BA78A3">
        <w:rPr>
          <w:rFonts w:asciiTheme="minorHAnsi" w:hAnsiTheme="minorHAnsi" w:cstheme="minorBidi"/>
          <w:b/>
          <w:noProof/>
          <w:lang w:val="fr-CA"/>
        </w:rPr>
        <w:t xml:space="preserve"> </w:t>
      </w:r>
      <w:r w:rsidR="00584E58" w:rsidRPr="00BA78A3">
        <w:rPr>
          <w:rFonts w:asciiTheme="minorHAnsi" w:hAnsiTheme="minorHAnsi" w:cstheme="minorBidi"/>
          <w:b/>
          <w:noProof/>
          <w:lang w:val="fr-CA"/>
        </w:rPr>
        <w:t xml:space="preserve">d’en </w:t>
      </w:r>
      <w:r w:rsidRPr="00BA78A3">
        <w:rPr>
          <w:rFonts w:asciiTheme="minorHAnsi" w:hAnsiTheme="minorHAnsi" w:cstheme="minorBidi"/>
          <w:b/>
          <w:noProof/>
          <w:lang w:val="fr-CA"/>
        </w:rPr>
        <w:t>inciter d</w:t>
      </w:r>
      <w:r w:rsidR="00584E58" w:rsidRPr="00BA78A3">
        <w:rPr>
          <w:rFonts w:asciiTheme="minorHAnsi" w:hAnsiTheme="minorHAnsi" w:cstheme="minorBidi"/>
          <w:b/>
          <w:noProof/>
          <w:lang w:val="fr-CA"/>
        </w:rPr>
        <w:t>’</w:t>
      </w:r>
      <w:r w:rsidRPr="00BA78A3">
        <w:rPr>
          <w:rFonts w:asciiTheme="minorHAnsi" w:hAnsiTheme="minorHAnsi" w:cstheme="minorBidi"/>
          <w:b/>
          <w:noProof/>
          <w:lang w:val="fr-CA"/>
        </w:rPr>
        <w:t xml:space="preserve">autres à axer le Canada sur </w:t>
      </w:r>
      <w:r w:rsidR="00584E58" w:rsidRPr="00BA78A3">
        <w:rPr>
          <w:rFonts w:asciiTheme="minorHAnsi" w:hAnsiTheme="minorHAnsi" w:cstheme="minorBidi"/>
          <w:b/>
          <w:noProof/>
          <w:lang w:val="fr-CA"/>
        </w:rPr>
        <w:t xml:space="preserve">ces </w:t>
      </w:r>
      <w:r w:rsidRPr="00BA78A3">
        <w:rPr>
          <w:rFonts w:asciiTheme="minorHAnsi" w:hAnsiTheme="minorHAnsi" w:cstheme="minorBidi"/>
          <w:b/>
          <w:noProof/>
          <w:lang w:val="fr-CA"/>
        </w:rPr>
        <w:t>cinq objectifs de qualité et de sécurité des soins</w:t>
      </w:r>
      <w:r w:rsidR="005A0508" w:rsidRPr="00BA78A3">
        <w:rPr>
          <w:rFonts w:asciiTheme="minorHAnsi" w:hAnsiTheme="minorHAnsi" w:cstheme="minorBidi"/>
          <w:b/>
          <w:noProof/>
          <w:lang w:val="fr-CA"/>
        </w:rPr>
        <w:t>.</w:t>
      </w:r>
      <w:r w:rsidR="005A0508" w:rsidRPr="002F3A88">
        <w:rPr>
          <w:rFonts w:asciiTheme="minorHAnsi" w:hAnsiTheme="minorHAnsi" w:cstheme="minorBidi"/>
          <w:b/>
          <w:noProof/>
          <w:lang w:val="fr-CA"/>
        </w:rPr>
        <w:t xml:space="preserve"> </w:t>
      </w:r>
    </w:p>
    <w:p w14:paraId="5494F6BA" w14:textId="0C950B6E" w:rsidR="0085663D" w:rsidRPr="002F3A88" w:rsidRDefault="00F209AF" w:rsidP="00A9489B">
      <w:pPr>
        <w:pStyle w:val="HeadLevel4Framework-Styles"/>
        <w:rPr>
          <w:noProof/>
          <w:lang w:val="fr-CA"/>
        </w:rPr>
      </w:pPr>
      <w:r>
        <w:rPr>
          <w:noProof/>
          <w:lang w:val="fr-CA"/>
        </w:rPr>
        <mc:AlternateContent>
          <mc:Choice Requires="wps">
            <w:drawing>
              <wp:inline distT="0" distB="0" distL="0" distR="0" wp14:anchorId="4CE43388" wp14:editId="4600A84D">
                <wp:extent cx="74428" cy="53162"/>
                <wp:effectExtent l="38100" t="0" r="40005" b="4445"/>
                <wp:docPr id="2034855068" name="Rectangle 2" descr="Image mettant en évidence l’Objectif 1 – Soins centrés sur la personne, que les personnes qui utilisent les services de santé doivent être des partenaires égaux dans la planification, le développement et le suivi des soins afin d’assurer que les soins répondent à leurs besoins et que ces personnes obtiennent les meilleurs résultats possible."/>
                <wp:cNvGraphicFramePr/>
                <a:graphic xmlns:a="http://schemas.openxmlformats.org/drawingml/2006/main">
                  <a:graphicData uri="http://schemas.microsoft.com/office/word/2010/wordprocessingShape">
                    <wps:wsp>
                      <wps:cNvSpPr/>
                      <wps:spPr>
                        <a:xfrm>
                          <a:off x="0" y="0"/>
                          <a:ext cx="74428" cy="531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4DACB9" id="Rectangle 2" o:spid="_x0000_s1026" alt="Image mettant en évidence l’Objectif 1 – Soins centrés sur la personne, que les personnes qui utilisent les services de santé doivent être des partenaires égaux dans la planification, le développement et le suivi des soins afin d’assurer que les soins répondent à leurs besoins et que ces personnes obtiennent les meilleurs résultats possible." style="width:5.85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" filled="f" stroked="f" strokeweight="1pt">
                <w10:anchorlock/>
              </v:rect>
            </w:pict>
          </mc:Fallback>
        </mc:AlternateContent>
      </w:r>
    </w:p>
    <w:tbl>
      <w:tblPr>
        <w:tblStyle w:val="TableGrid"/>
        <w:tblW w:w="13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567"/>
        <w:gridCol w:w="2831"/>
        <w:gridCol w:w="586"/>
        <w:gridCol w:w="2832"/>
        <w:gridCol w:w="2831"/>
      </w:tblGrid>
      <w:tr w:rsidR="00270A19" w:rsidRPr="002F3A88" w14:paraId="309936EC" w14:textId="77777777" w:rsidTr="004F7937">
        <w:trPr>
          <w:cantSplit/>
          <w:tblHeader/>
        </w:trPr>
        <w:tc>
          <w:tcPr>
            <w:tcW w:w="3792" w:type="dxa"/>
          </w:tcPr>
          <w:p w14:paraId="4B487AEC" w14:textId="3290B705" w:rsidR="0085663D" w:rsidRPr="002F3A88" w:rsidRDefault="009033CD" w:rsidP="00A9489B">
            <w:pPr>
              <w:pStyle w:val="HeadLevel4Framework-Styles"/>
              <w:rPr>
                <w:noProof/>
                <w:lang w:val="fr-CA"/>
              </w:rPr>
            </w:pPr>
            <w:r w:rsidRPr="002F3A88">
              <w:rPr>
                <w:noProof/>
                <w:lang w:val="fr-CA"/>
              </w:rPr>
              <w:drawing>
                <wp:anchor distT="0" distB="0" distL="114300" distR="114300" simplePos="0" relativeHeight="251663872" behindDoc="0" locked="0" layoutInCell="1" allowOverlap="1" wp14:anchorId="1E18BD5B" wp14:editId="0522FE41">
                  <wp:simplePos x="0" y="0"/>
                  <wp:positionH relativeFrom="column">
                    <wp:posOffset>397510</wp:posOffset>
                  </wp:positionH>
                  <wp:positionV relativeFrom="paragraph">
                    <wp:posOffset>382270</wp:posOffset>
                  </wp:positionV>
                  <wp:extent cx="1936115" cy="319405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115" cy="3194050"/>
                          </a:xfrm>
                          <a:prstGeom prst="rect">
                            <a:avLst/>
                          </a:prstGeom>
                        </pic:spPr>
                      </pic:pic>
                    </a:graphicData>
                  </a:graphic>
                </wp:anchor>
              </w:drawing>
            </w:r>
          </w:p>
        </w:tc>
        <w:tc>
          <w:tcPr>
            <w:tcW w:w="567" w:type="dxa"/>
            <w:tcBorders>
              <w:bottom w:val="single" w:sz="18" w:space="0" w:color="7C2855"/>
            </w:tcBorders>
          </w:tcPr>
          <w:p w14:paraId="36A09B55" w14:textId="7839014C" w:rsidR="0085663D" w:rsidRPr="002F3A88" w:rsidRDefault="0085663D" w:rsidP="00A9489B">
            <w:pPr>
              <w:pStyle w:val="HeadLevel4Framework-Styles"/>
              <w:rPr>
                <w:noProof/>
                <w:lang w:val="fr-CA"/>
              </w:rPr>
            </w:pPr>
          </w:p>
        </w:tc>
        <w:tc>
          <w:tcPr>
            <w:tcW w:w="2835" w:type="dxa"/>
            <w:tcBorders>
              <w:bottom w:val="single" w:sz="18" w:space="0" w:color="7C2855"/>
            </w:tcBorders>
          </w:tcPr>
          <w:p w14:paraId="4A73DF6C" w14:textId="76EE8493" w:rsidR="0085663D" w:rsidRPr="002F3A88" w:rsidRDefault="00CE7C25" w:rsidP="00590ECA">
            <w:pPr>
              <w:pStyle w:val="Heading-ColumnA"/>
            </w:pPr>
            <w:r w:rsidRPr="002F3A88">
              <w:t>Buts</w:t>
            </w:r>
          </w:p>
        </w:tc>
        <w:tc>
          <w:tcPr>
            <w:tcW w:w="567" w:type="dxa"/>
            <w:tcBorders>
              <w:bottom w:val="single" w:sz="18" w:space="0" w:color="7C2855"/>
            </w:tcBorders>
          </w:tcPr>
          <w:p w14:paraId="5A4F2061" w14:textId="548C483D" w:rsidR="0085663D" w:rsidRPr="002F3A88" w:rsidRDefault="0085663D" w:rsidP="00A9489B">
            <w:pPr>
              <w:pStyle w:val="HeadLevel4Framework-Styles"/>
              <w:jc w:val="center"/>
              <w:rPr>
                <w:rFonts w:asciiTheme="minorHAnsi" w:hAnsiTheme="minorHAnsi" w:cstheme="minorHAnsi"/>
                <w:b/>
                <w:bCs/>
                <w:noProof/>
                <w:lang w:val="fr-CA"/>
              </w:rPr>
            </w:pPr>
          </w:p>
        </w:tc>
        <w:tc>
          <w:tcPr>
            <w:tcW w:w="2835" w:type="dxa"/>
            <w:tcBorders>
              <w:bottom w:val="single" w:sz="18" w:space="0" w:color="7C2855"/>
            </w:tcBorders>
          </w:tcPr>
          <w:p w14:paraId="289A0387" w14:textId="041128EF" w:rsidR="0085663D" w:rsidRPr="002F3A88" w:rsidRDefault="00CE7C25" w:rsidP="00590ECA">
            <w:pPr>
              <w:pStyle w:val="Heading-ColumnA"/>
            </w:pPr>
            <w:r w:rsidRPr="002F3A88">
              <w:t>Résultat</w:t>
            </w:r>
          </w:p>
        </w:tc>
        <w:tc>
          <w:tcPr>
            <w:tcW w:w="2835" w:type="dxa"/>
            <w:tcBorders>
              <w:bottom w:val="single" w:sz="18" w:space="0" w:color="7C2855"/>
            </w:tcBorders>
          </w:tcPr>
          <w:p w14:paraId="3786272A" w14:textId="793C388A" w:rsidR="0085663D" w:rsidRPr="00BA78A3" w:rsidRDefault="00D84E53" w:rsidP="00590ECA">
            <w:pPr>
              <w:pStyle w:val="Heading-ColumnA"/>
            </w:pPr>
            <w:r w:rsidRPr="00BA78A3">
              <w:t>Vos</w:t>
            </w:r>
            <w:r w:rsidR="002F4A8D" w:rsidRPr="00BA78A3">
              <w:t xml:space="preserve"> </w:t>
            </w:r>
            <w:r w:rsidRPr="00BA78A3">
              <w:t>i</w:t>
            </w:r>
            <w:r w:rsidR="0085663D" w:rsidRPr="00BA78A3">
              <w:t>nitiatives</w:t>
            </w:r>
          </w:p>
        </w:tc>
      </w:tr>
      <w:tr w:rsidR="00527CC9" w:rsidRPr="00167B0E" w14:paraId="0ED43642" w14:textId="77777777" w:rsidTr="00B843FA">
        <w:trPr>
          <w:cantSplit/>
          <w:trHeight w:val="4571"/>
        </w:trPr>
        <w:tc>
          <w:tcPr>
            <w:tcW w:w="3792" w:type="dxa"/>
            <w:vMerge w:val="restart"/>
          </w:tcPr>
          <w:p w14:paraId="00DCCC36" w14:textId="55926FD3" w:rsidR="00527CC9" w:rsidRPr="002F3A88" w:rsidRDefault="00190861" w:rsidP="0005471F">
            <w:pPr>
              <w:pStyle w:val="HeadLevel4Framework-Styles"/>
              <w:spacing w:before="360"/>
              <w:rPr>
                <w:noProof/>
                <w:lang w:val="fr-CA"/>
              </w:rPr>
            </w:pP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lastRenderedPageBreak/>
              <w:br/>
            </w:r>
            <w:r w:rsidR="00C61E1D">
              <w:rPr>
                <w:noProof/>
                <w:lang w:val="fr-CA"/>
              </w:rPr>
              <mc:AlternateContent>
                <mc:Choice Requires="wps">
                  <w:drawing>
                    <wp:inline distT="0" distB="0" distL="0" distR="0" wp14:anchorId="5D7CC531" wp14:editId="71D7FF37">
                      <wp:extent cx="53163" cy="95693"/>
                      <wp:effectExtent l="57150" t="0" r="61595" b="0"/>
                      <wp:docPr id="682031424" name="Rectangle 4" descr="Image mettant en évidence l’Objectif 1 – Soins centrés sur la personne, que les personnes qui utilisent les services de santé doivent être des partenaires égaux dans la planification, le développement et le suivi des soins afin d’assurer que les soins répondent à leurs besoins et que ces personnes obtiennent les meilleurs résultats possible."/>
                      <wp:cNvGraphicFramePr/>
                      <a:graphic xmlns:a="http://schemas.openxmlformats.org/drawingml/2006/main">
                        <a:graphicData uri="http://schemas.microsoft.com/office/word/2010/wordprocessingShape">
                          <wps:wsp>
                            <wps:cNvSpPr/>
                            <wps:spPr>
                              <a:xfrm>
                                <a:off x="0" y="0"/>
                                <a:ext cx="53163" cy="95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574584" id="Rectangle 4" o:spid="_x0000_s1026" alt="Image mettant en évidence l’Objectif 1 – Soins centrés sur la personne, que les personnes qui utilisent les services de santé doivent être des partenaires égaux dans la planification, le développement et le suivi des soins afin d’assurer que les soins répondent à leurs besoins et que ces personnes obtiennent les meilleurs résultats possible." style="width:4.2pt;height: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" filled="f" stroked="f" strokeweight="1pt">
                      <w10:anchorlock/>
                    </v:rect>
                  </w:pict>
                </mc:Fallback>
              </mc:AlternateContent>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br/>
            </w:r>
            <w:r>
              <w:rPr>
                <w:noProof/>
                <w:lang w:val="fr-CA"/>
              </w:rPr>
              <w:lastRenderedPageBreak/>
              <w:br/>
            </w:r>
            <w:r w:rsidR="006B2041">
              <w:rPr>
                <w:noProof/>
                <w:lang w:val="fr-CA"/>
              </w:rPr>
              <mc:AlternateContent>
                <mc:Choice Requires="wps">
                  <w:drawing>
                    <wp:inline distT="0" distB="0" distL="0" distR="0" wp14:anchorId="32859544" wp14:editId="4ED46E75">
                      <wp:extent cx="81073" cy="53163"/>
                      <wp:effectExtent l="19050" t="0" r="33655" b="4445"/>
                      <wp:docPr id="2012440754" name="Rectangle 5" descr="Image mettant en évidence l’Objectif 1 – Soins centrés sur la personne, que les personnes qui utilisent les services de santé doivent être des partenaires égaux dans la planification, le développement et le suivi des soins afin d’assurer que les soins répondent à leurs besoins et que ces personnes obtiennent les meilleurs résultats possible."/>
                      <wp:cNvGraphicFramePr/>
                      <a:graphic xmlns:a="http://schemas.openxmlformats.org/drawingml/2006/main">
                        <a:graphicData uri="http://schemas.microsoft.com/office/word/2010/wordprocessingShape">
                          <wps:wsp>
                            <wps:cNvSpPr/>
                            <wps:spPr>
                              <a:xfrm>
                                <a:off x="0" y="0"/>
                                <a:ext cx="81073" cy="531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ED2209" id="Rectangle 5" o:spid="_x0000_s1026" alt="Image mettant en évidence l’Objectif 1 – Soins centrés sur la personne, que les personnes qui utilisent les services de santé doivent être des partenaires égaux dans la planification, le développement et le suivi des soins afin d’assurer que les soins répondent à leurs besoins et que ces personnes obtiennent les meilleurs résultats possible." style="width:6.4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" filled="f" stroked="f" strokeweight="1pt">
                      <w10:anchorlock/>
                    </v:rect>
                  </w:pict>
                </mc:Fallback>
              </mc:AlternateContent>
            </w:r>
            <w:r>
              <w:rPr>
                <w:noProof/>
                <w:lang w:val="fr-CA"/>
              </w:rPr>
              <w:br/>
            </w:r>
            <w:r>
              <w:rPr>
                <w:noProof/>
                <w:lang w:val="fr-CA"/>
              </w:rPr>
              <w:br/>
            </w:r>
            <w:r>
              <w:rPr>
                <w:noProof/>
                <w:lang w:val="fr-CA"/>
              </w:rPr>
              <w:br/>
            </w:r>
            <w:r>
              <w:rPr>
                <w:noProof/>
                <w:lang w:val="fr-CA"/>
              </w:rPr>
              <w:br/>
            </w:r>
            <w:r>
              <w:rPr>
                <w:noProof/>
                <w:lang w:val="fr-CA"/>
              </w:rPr>
              <w:br/>
            </w:r>
            <w:r w:rsidR="00F62F55">
              <w:rPr>
                <w:noProof/>
                <w:lang w:val="fr-CA"/>
              </w:rPr>
              <w:br/>
            </w:r>
            <w:r>
              <w:rPr>
                <w:noProof/>
                <w:lang w:val="fr-CA"/>
              </w:rPr>
              <w:br/>
            </w:r>
            <w:r w:rsidR="007814DF">
              <w:rPr>
                <w:noProof/>
                <w:lang w:val="fr-CA"/>
              </w:rPr>
              <w:br/>
            </w:r>
            <w:r w:rsidR="007814DF">
              <w:rPr>
                <w:noProof/>
                <w:lang w:val="fr-CA"/>
              </w:rPr>
              <w:br/>
            </w:r>
            <w:r w:rsidR="0085104E" w:rsidRPr="001B4DDA">
              <w:rPr>
                <w:noProof/>
                <w:sz w:val="14"/>
                <w:szCs w:val="14"/>
                <w:lang w:val="fr-CA"/>
              </w:rPr>
              <w:br/>
            </w:r>
            <w:r>
              <w:rPr>
                <w:noProof/>
                <w:lang w:val="fr-CA"/>
              </w:rPr>
              <w:br/>
            </w:r>
          </w:p>
        </w:tc>
        <w:tc>
          <w:tcPr>
            <w:tcW w:w="567" w:type="dxa"/>
            <w:vMerge w:val="restart"/>
            <w:tcBorders>
              <w:top w:val="single" w:sz="18" w:space="0" w:color="7C2855"/>
            </w:tcBorders>
            <w:shd w:val="clear" w:color="auto" w:fill="DFE0DE"/>
          </w:tcPr>
          <w:p w14:paraId="3192EA3E" w14:textId="31CF91A1" w:rsidR="00527CC9" w:rsidRPr="002F3A88" w:rsidRDefault="00527CC9" w:rsidP="00751B6C">
            <w:pPr>
              <w:pStyle w:val="Heading-RowA"/>
            </w:pPr>
            <w:r w:rsidRPr="002F3A88">
              <w:lastRenderedPageBreak/>
              <w:t>1.1</w:t>
            </w:r>
          </w:p>
        </w:tc>
        <w:tc>
          <w:tcPr>
            <w:tcW w:w="2835" w:type="dxa"/>
            <w:vMerge w:val="restart"/>
            <w:tcBorders>
              <w:top w:val="single" w:sz="18" w:space="0" w:color="7C2855"/>
              <w:right w:val="single" w:sz="4" w:space="0" w:color="7C2855"/>
            </w:tcBorders>
            <w:shd w:val="clear" w:color="auto" w:fill="DFE0DE"/>
          </w:tcPr>
          <w:p w14:paraId="79BADFD4" w14:textId="4B6D2854" w:rsidR="00D76AD5" w:rsidRPr="00751B6C" w:rsidRDefault="00D76AD5" w:rsidP="00751B6C">
            <w:pPr>
              <w:pStyle w:val="Heading-RowA"/>
              <w:spacing w:line="240" w:lineRule="auto"/>
              <w:ind w:left="0" w:firstLine="0"/>
              <w:rPr>
                <w:b w:val="0"/>
                <w:bCs/>
                <w:color w:val="404041"/>
              </w:rPr>
            </w:pPr>
            <w:r w:rsidRPr="00751B6C">
              <w:rPr>
                <w:b w:val="0"/>
                <w:bCs/>
                <w:color w:val="404041"/>
              </w:rPr>
              <w:t>Les services de santé sont prodigués avec humilité et d’une manière holistique, avec dignité et respect</w:t>
            </w:r>
            <w:r w:rsidR="001931DD" w:rsidRPr="00751B6C">
              <w:rPr>
                <w:b w:val="0"/>
                <w:bCs/>
                <w:color w:val="404041"/>
              </w:rPr>
              <w:t>.</w:t>
            </w:r>
          </w:p>
          <w:p w14:paraId="6C310FF5" w14:textId="1129BD5B" w:rsidR="00527CC9" w:rsidRPr="00751B6C" w:rsidRDefault="00D76AD5" w:rsidP="00751B6C">
            <w:pPr>
              <w:pStyle w:val="Heading-RowA"/>
              <w:spacing w:line="240" w:lineRule="auto"/>
              <w:ind w:left="0" w:firstLine="0"/>
              <w:rPr>
                <w:b w:val="0"/>
                <w:bCs/>
                <w:color w:val="D41B5A"/>
              </w:rPr>
            </w:pPr>
            <w:r w:rsidRPr="00751B6C">
              <w:rPr>
                <w:b w:val="0"/>
                <w:bCs/>
                <w:color w:val="D41B5A"/>
              </w:rPr>
              <w:t>Indicateur : Avis des patients à l’égard de la prestation respectueuse des soins</w:t>
            </w:r>
          </w:p>
        </w:tc>
        <w:tc>
          <w:tcPr>
            <w:tcW w:w="567" w:type="dxa"/>
            <w:tcBorders>
              <w:top w:val="single" w:sz="18" w:space="0" w:color="7C2855"/>
              <w:left w:val="single" w:sz="4" w:space="0" w:color="7C2855"/>
              <w:bottom w:val="single" w:sz="4" w:space="0" w:color="7C2855"/>
            </w:tcBorders>
            <w:shd w:val="clear" w:color="auto" w:fill="DFE0DE"/>
          </w:tcPr>
          <w:p w14:paraId="313E21A1" w14:textId="2C9A4502" w:rsidR="00527CC9" w:rsidRPr="002F3A88" w:rsidRDefault="00527CC9" w:rsidP="00D46623">
            <w:pPr>
              <w:pStyle w:val="Heading1"/>
              <w:rPr>
                <w:rFonts w:asciiTheme="minorHAnsi" w:hAnsiTheme="minorHAnsi" w:cstheme="minorHAnsi"/>
                <w:noProof/>
                <w:lang w:val="fr-CA"/>
              </w:rPr>
            </w:pPr>
            <w:r w:rsidRPr="002F3A88">
              <w:rPr>
                <w:rFonts w:asciiTheme="minorHAnsi" w:hAnsiTheme="minorHAnsi" w:cstheme="minorHAnsi"/>
                <w:noProof/>
                <w:lang w:val="fr-CA"/>
              </w:rPr>
              <w:t>1.1.1</w:t>
            </w:r>
          </w:p>
        </w:tc>
        <w:tc>
          <w:tcPr>
            <w:tcW w:w="2835" w:type="dxa"/>
            <w:tcBorders>
              <w:top w:val="single" w:sz="18" w:space="0" w:color="7C2855"/>
              <w:bottom w:val="single" w:sz="4" w:space="0" w:color="7C2855"/>
              <w:right w:val="single" w:sz="4" w:space="0" w:color="7C2855"/>
            </w:tcBorders>
            <w:shd w:val="clear" w:color="auto" w:fill="DFE0DE"/>
          </w:tcPr>
          <w:p w14:paraId="379CE3D9" w14:textId="43AC37BE" w:rsidR="00527CC9" w:rsidRPr="002F3A88" w:rsidRDefault="00CE7C25" w:rsidP="00A9489B">
            <w:pPr>
              <w:rPr>
                <w:noProof/>
                <w:lang w:val="fr-CA"/>
              </w:rPr>
            </w:pPr>
            <w:r w:rsidRPr="002F3A88">
              <w:rPr>
                <w:noProof/>
                <w:lang w:val="fr-CA"/>
              </w:rPr>
              <w:t>Les patients participent à leurs soins et à leurs traitements et prennent des décisions éclairées.</w:t>
            </w: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7E4A7A17" w14:textId="290F6A0F" w:rsidR="00A9489B" w:rsidRPr="00BA78A3" w:rsidRDefault="00956F50" w:rsidP="00A9489B">
            <w:pPr>
              <w:rPr>
                <w:i/>
                <w:iCs/>
                <w:noProof/>
                <w:lang w:val="fr-CA"/>
              </w:rPr>
            </w:pPr>
            <w:r w:rsidRPr="00BA78A3">
              <w:rPr>
                <w:i/>
                <w:noProof/>
                <w:lang w:val="fr-CA"/>
              </w:rPr>
              <w:t>Les exemples incluent, sans toutefois s</w:t>
            </w:r>
            <w:r w:rsidR="00E7124E" w:rsidRPr="00BA78A3">
              <w:rPr>
                <w:i/>
                <w:noProof/>
                <w:lang w:val="fr-CA"/>
              </w:rPr>
              <w:t>’</w:t>
            </w:r>
            <w:r w:rsidRPr="00BA78A3">
              <w:rPr>
                <w:i/>
                <w:noProof/>
                <w:lang w:val="fr-CA"/>
              </w:rPr>
              <w:t>y limiter, la défense des intérêts, les pratiques éclairées, la formation, les programmes, les activités d’accréditation, les comités, les cadres de travail, les partenariats, les politiques, les règlements et les lois</w:t>
            </w:r>
            <w:r w:rsidR="00A9489B" w:rsidRPr="00BA78A3">
              <w:rPr>
                <w:i/>
                <w:noProof/>
                <w:lang w:val="fr-CA"/>
              </w:rPr>
              <w:t>.</w:t>
            </w:r>
          </w:p>
          <w:p w14:paraId="18DDC4D1" w14:textId="24C03F56" w:rsidR="003A22A1" w:rsidRPr="00BA78A3" w:rsidRDefault="003A22A1" w:rsidP="00A9489B">
            <w:pPr>
              <w:rPr>
                <w:i/>
                <w:iCs/>
                <w:noProof/>
                <w:lang w:val="fr-CA"/>
              </w:rPr>
            </w:pPr>
          </w:p>
        </w:tc>
      </w:tr>
      <w:tr w:rsidR="00B85B5A" w:rsidRPr="00167B0E" w14:paraId="779E2473" w14:textId="77777777" w:rsidTr="003A22A1">
        <w:trPr>
          <w:cantSplit/>
        </w:trPr>
        <w:tc>
          <w:tcPr>
            <w:tcW w:w="3792" w:type="dxa"/>
            <w:vMerge/>
          </w:tcPr>
          <w:p w14:paraId="7E323B85" w14:textId="77777777" w:rsidR="00527CC9" w:rsidRPr="002F3A88" w:rsidRDefault="00527CC9" w:rsidP="00A9489B">
            <w:pPr>
              <w:pStyle w:val="HeadLevel4Framework-Styles"/>
              <w:rPr>
                <w:noProof/>
                <w:lang w:val="fr-CA"/>
              </w:rPr>
            </w:pPr>
          </w:p>
        </w:tc>
        <w:tc>
          <w:tcPr>
            <w:tcW w:w="567" w:type="dxa"/>
            <w:vMerge/>
          </w:tcPr>
          <w:p w14:paraId="68224A56" w14:textId="073591A8" w:rsidR="00527CC9" w:rsidRPr="002F3A88" w:rsidRDefault="00527CC9" w:rsidP="00F607C9">
            <w:pPr>
              <w:pStyle w:val="Heading1"/>
              <w:rPr>
                <w:rFonts w:asciiTheme="minorHAnsi" w:hAnsiTheme="minorHAnsi" w:cstheme="minorHAnsi"/>
                <w:noProof/>
                <w:lang w:val="fr-CA"/>
              </w:rPr>
            </w:pPr>
          </w:p>
        </w:tc>
        <w:tc>
          <w:tcPr>
            <w:tcW w:w="2835" w:type="dxa"/>
            <w:vMerge/>
          </w:tcPr>
          <w:p w14:paraId="068AAA2D" w14:textId="77777777" w:rsidR="00527CC9" w:rsidRPr="002F3A88" w:rsidRDefault="00527CC9" w:rsidP="00A9489B">
            <w:pPr>
              <w:pStyle w:val="HeadLevel4Framework-Styles"/>
              <w:rPr>
                <w:noProof/>
                <w:lang w:val="fr-CA"/>
              </w:rPr>
            </w:pPr>
          </w:p>
        </w:tc>
        <w:tc>
          <w:tcPr>
            <w:tcW w:w="567" w:type="dxa"/>
            <w:tcBorders>
              <w:top w:val="single" w:sz="4" w:space="0" w:color="7C2855"/>
              <w:left w:val="single" w:sz="4" w:space="0" w:color="7C2855"/>
              <w:bottom w:val="single" w:sz="4" w:space="0" w:color="7C2855"/>
            </w:tcBorders>
            <w:shd w:val="clear" w:color="auto" w:fill="DFE0DE"/>
          </w:tcPr>
          <w:p w14:paraId="10AF272A" w14:textId="003730E9" w:rsidR="00527CC9" w:rsidRPr="002F3A88" w:rsidRDefault="00527CC9" w:rsidP="00D46623">
            <w:pPr>
              <w:pStyle w:val="Heading1"/>
              <w:rPr>
                <w:rFonts w:asciiTheme="minorHAnsi" w:hAnsiTheme="minorHAnsi" w:cstheme="minorHAnsi"/>
                <w:noProof/>
                <w:lang w:val="fr-CA"/>
              </w:rPr>
            </w:pPr>
            <w:r w:rsidRPr="002F3A88">
              <w:rPr>
                <w:rFonts w:asciiTheme="minorHAnsi" w:hAnsiTheme="minorHAnsi" w:cstheme="minorHAnsi"/>
                <w:noProof/>
                <w:lang w:val="fr-CA"/>
              </w:rPr>
              <w:t>1.1.2</w:t>
            </w:r>
          </w:p>
        </w:tc>
        <w:tc>
          <w:tcPr>
            <w:tcW w:w="2835" w:type="dxa"/>
            <w:tcBorders>
              <w:top w:val="single" w:sz="4" w:space="0" w:color="7C2855"/>
              <w:bottom w:val="single" w:sz="4" w:space="0" w:color="7C2855"/>
              <w:right w:val="single" w:sz="4" w:space="0" w:color="7C2855"/>
            </w:tcBorders>
            <w:shd w:val="clear" w:color="auto" w:fill="DFE0DE"/>
          </w:tcPr>
          <w:p w14:paraId="2A7E2D2F" w14:textId="0691BCB4" w:rsidR="00527CC9" w:rsidRPr="002F3A88" w:rsidRDefault="00CE7C25" w:rsidP="00A9489B">
            <w:pPr>
              <w:rPr>
                <w:noProof/>
                <w:lang w:val="fr-CA"/>
              </w:rPr>
            </w:pPr>
            <w:r w:rsidRPr="002F3A88">
              <w:rPr>
                <w:noProof/>
                <w:lang w:val="fr-CA"/>
              </w:rPr>
              <w:t xml:space="preserve">Des groupes divers de personnes, comme les Premières nations, les Inuits, les Métis, les Noirs, LGBTQ2S+, les immigrants et les habitants de collectivités rurales et éloignées reçoivent des soins qui sont culturellement sécuritaires.  </w:t>
            </w:r>
            <w:r w:rsidR="00B843FA" w:rsidRPr="002F3A88">
              <w:rPr>
                <w:noProof/>
                <w:lang w:val="fr-CA"/>
              </w:rPr>
              <w:br/>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45981D05" w14:textId="77777777" w:rsidR="00527CC9" w:rsidRPr="002F3A88" w:rsidRDefault="00527CC9" w:rsidP="002A163F">
            <w:pPr>
              <w:rPr>
                <w:noProof/>
                <w:lang w:val="fr-CA"/>
              </w:rPr>
            </w:pPr>
          </w:p>
        </w:tc>
      </w:tr>
      <w:tr w:rsidR="00270A19" w:rsidRPr="00167B0E" w14:paraId="41BEA373" w14:textId="77777777" w:rsidTr="002F4A8D">
        <w:trPr>
          <w:cantSplit/>
        </w:trPr>
        <w:tc>
          <w:tcPr>
            <w:tcW w:w="3792" w:type="dxa"/>
            <w:vMerge/>
          </w:tcPr>
          <w:p w14:paraId="08E9559A" w14:textId="77777777" w:rsidR="00270A19" w:rsidRPr="002F3A88" w:rsidRDefault="00270A19" w:rsidP="00A9489B">
            <w:pPr>
              <w:pStyle w:val="HeadLevel4Framework-Styles"/>
              <w:rPr>
                <w:noProof/>
                <w:lang w:val="fr-CA"/>
              </w:rPr>
            </w:pPr>
          </w:p>
        </w:tc>
        <w:tc>
          <w:tcPr>
            <w:tcW w:w="567" w:type="dxa"/>
            <w:tcBorders>
              <w:top w:val="single" w:sz="4" w:space="0" w:color="7C2855"/>
              <w:bottom w:val="single" w:sz="4" w:space="0" w:color="7C2855"/>
            </w:tcBorders>
            <w:shd w:val="clear" w:color="auto" w:fill="DFE0DE"/>
          </w:tcPr>
          <w:p w14:paraId="7A85B84D" w14:textId="79ECDE40" w:rsidR="00270A19" w:rsidRPr="002F3A88" w:rsidRDefault="00270A19" w:rsidP="00576FD6">
            <w:pPr>
              <w:pStyle w:val="Heading-RowA"/>
            </w:pPr>
            <w:r w:rsidRPr="002F3A88">
              <w:t>1.2</w:t>
            </w:r>
          </w:p>
        </w:tc>
        <w:tc>
          <w:tcPr>
            <w:tcW w:w="2835" w:type="dxa"/>
            <w:tcBorders>
              <w:top w:val="single" w:sz="4" w:space="0" w:color="7C2855"/>
              <w:bottom w:val="single" w:sz="4" w:space="0" w:color="7C2855"/>
              <w:right w:val="single" w:sz="4" w:space="0" w:color="7C2855"/>
            </w:tcBorders>
            <w:shd w:val="clear" w:color="auto" w:fill="DFE0DE"/>
          </w:tcPr>
          <w:p w14:paraId="6ADFF1AB" w14:textId="77777777" w:rsidR="003261AA" w:rsidRPr="00576FD6" w:rsidRDefault="003261AA" w:rsidP="00576FD6">
            <w:pPr>
              <w:pStyle w:val="Heading-RowA"/>
              <w:spacing w:line="240" w:lineRule="auto"/>
              <w:ind w:left="0" w:firstLine="0"/>
              <w:rPr>
                <w:b w:val="0"/>
                <w:bCs/>
                <w:color w:val="404041"/>
              </w:rPr>
            </w:pPr>
            <w:r w:rsidRPr="00576FD6">
              <w:rPr>
                <w:b w:val="0"/>
                <w:bCs/>
                <w:color w:val="404041"/>
              </w:rPr>
              <w:t>Tous les aspects des soins sont conçus avec l’aide des patients et des prestataires.</w:t>
            </w:r>
          </w:p>
          <w:p w14:paraId="76FC6D7C" w14:textId="0C093369" w:rsidR="00D5692D" w:rsidRPr="002F3A88" w:rsidRDefault="005F6AF2" w:rsidP="00576FD6">
            <w:pPr>
              <w:pStyle w:val="Heading-RowA"/>
              <w:spacing w:line="240" w:lineRule="auto"/>
              <w:ind w:left="0" w:firstLine="0"/>
            </w:pPr>
            <w:r w:rsidRPr="00576FD6">
              <w:rPr>
                <w:b w:val="0"/>
                <w:bCs/>
                <w:color w:val="D41B5A"/>
              </w:rPr>
              <w:t>Indicateur : Participation des patients et des prestataires à la planification, à la gouvernance et à l’évaluation des soins (p. ex., conseillers aux patients)</w:t>
            </w:r>
          </w:p>
        </w:tc>
        <w:tc>
          <w:tcPr>
            <w:tcW w:w="567" w:type="dxa"/>
            <w:tcBorders>
              <w:top w:val="single" w:sz="4" w:space="0" w:color="7C2855"/>
              <w:left w:val="single" w:sz="4" w:space="0" w:color="7C2855"/>
              <w:bottom w:val="single" w:sz="4" w:space="0" w:color="7C2855"/>
            </w:tcBorders>
            <w:shd w:val="clear" w:color="auto" w:fill="DFE0DE"/>
          </w:tcPr>
          <w:p w14:paraId="4D0136A4" w14:textId="68622B31" w:rsidR="00270A19" w:rsidRPr="002F3A88" w:rsidRDefault="00270A19" w:rsidP="00D46623">
            <w:pPr>
              <w:pStyle w:val="Heading1"/>
              <w:rPr>
                <w:rFonts w:asciiTheme="minorHAnsi" w:hAnsiTheme="minorHAnsi" w:cstheme="minorHAnsi"/>
                <w:noProof/>
                <w:lang w:val="fr-CA"/>
              </w:rPr>
            </w:pPr>
            <w:r w:rsidRPr="002F3A88">
              <w:rPr>
                <w:rFonts w:asciiTheme="minorHAnsi" w:hAnsiTheme="minorHAnsi" w:cstheme="minorHAnsi"/>
                <w:noProof/>
                <w:lang w:val="fr-CA"/>
              </w:rPr>
              <w:t>1.2.1</w:t>
            </w:r>
          </w:p>
        </w:tc>
        <w:tc>
          <w:tcPr>
            <w:tcW w:w="2835" w:type="dxa"/>
            <w:tcBorders>
              <w:top w:val="single" w:sz="4" w:space="0" w:color="7C2855"/>
              <w:bottom w:val="single" w:sz="4" w:space="0" w:color="7C2855"/>
              <w:right w:val="single" w:sz="4" w:space="0" w:color="7C2855"/>
            </w:tcBorders>
            <w:shd w:val="clear" w:color="auto" w:fill="DFE0DE"/>
          </w:tcPr>
          <w:p w14:paraId="429A1083" w14:textId="39273BE6" w:rsidR="00270A19" w:rsidRPr="002F3A88" w:rsidRDefault="003261AA" w:rsidP="00A9489B">
            <w:pPr>
              <w:rPr>
                <w:noProof/>
                <w:lang w:val="fr-CA"/>
              </w:rPr>
            </w:pPr>
            <w:r w:rsidRPr="002F3A88">
              <w:rPr>
                <w:noProof/>
                <w:lang w:val="fr-CA"/>
              </w:rPr>
              <w:t>Les partenariats officiels et informels avec les patients sont établis et soutenus de façon cohérente à tous les niveaux.</w:t>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2B7850C0" w14:textId="77777777" w:rsidR="00270A19" w:rsidRPr="002F3A88" w:rsidRDefault="00270A19" w:rsidP="002A163F">
            <w:pPr>
              <w:rPr>
                <w:noProof/>
                <w:lang w:val="fr-CA"/>
              </w:rPr>
            </w:pPr>
          </w:p>
        </w:tc>
      </w:tr>
      <w:tr w:rsidR="00527CC9" w:rsidRPr="00167B0E" w14:paraId="1158C041" w14:textId="77777777" w:rsidTr="00B843FA">
        <w:trPr>
          <w:cantSplit/>
          <w:trHeight w:val="1587"/>
        </w:trPr>
        <w:tc>
          <w:tcPr>
            <w:tcW w:w="3792" w:type="dxa"/>
            <w:vMerge/>
          </w:tcPr>
          <w:p w14:paraId="49915A7A" w14:textId="77777777" w:rsidR="00527CC9" w:rsidRPr="002F3A88" w:rsidRDefault="00527CC9" w:rsidP="00A9489B">
            <w:pPr>
              <w:pStyle w:val="HeadLevel4Framework-Styles"/>
              <w:rPr>
                <w:noProof/>
                <w:lang w:val="fr-CA"/>
              </w:rPr>
            </w:pPr>
          </w:p>
        </w:tc>
        <w:tc>
          <w:tcPr>
            <w:tcW w:w="567" w:type="dxa"/>
            <w:vMerge w:val="restart"/>
            <w:tcBorders>
              <w:top w:val="single" w:sz="4" w:space="0" w:color="7C2855"/>
            </w:tcBorders>
            <w:shd w:val="clear" w:color="auto" w:fill="DFE0DE"/>
          </w:tcPr>
          <w:p w14:paraId="6848E325" w14:textId="2F4996AD" w:rsidR="00527CC9" w:rsidRPr="002F3A88" w:rsidRDefault="00527CC9" w:rsidP="00576FD6">
            <w:pPr>
              <w:pStyle w:val="Heading-RowA"/>
              <w:spacing w:line="240" w:lineRule="auto"/>
            </w:pPr>
            <w:r w:rsidRPr="002F3A88">
              <w:t>1.3</w:t>
            </w:r>
          </w:p>
        </w:tc>
        <w:tc>
          <w:tcPr>
            <w:tcW w:w="2835" w:type="dxa"/>
            <w:vMerge w:val="restart"/>
            <w:tcBorders>
              <w:top w:val="single" w:sz="4" w:space="0" w:color="7C2855"/>
              <w:right w:val="single" w:sz="4" w:space="0" w:color="7C2855"/>
            </w:tcBorders>
            <w:shd w:val="clear" w:color="auto" w:fill="DFE0DE"/>
          </w:tcPr>
          <w:p w14:paraId="5F9B2FB7" w14:textId="77777777" w:rsidR="005F6AF2" w:rsidRPr="00576FD6" w:rsidRDefault="005F6AF2" w:rsidP="00576FD6">
            <w:pPr>
              <w:pStyle w:val="Heading-RowA"/>
              <w:spacing w:line="240" w:lineRule="auto"/>
              <w:ind w:left="0" w:firstLine="0"/>
              <w:rPr>
                <w:b w:val="0"/>
                <w:bCs/>
                <w:color w:val="404041"/>
              </w:rPr>
            </w:pPr>
            <w:r w:rsidRPr="00576FD6">
              <w:rPr>
                <w:b w:val="0"/>
                <w:bCs/>
                <w:color w:val="404041"/>
              </w:rPr>
              <w:t>L’expérience des patients et des prestataires à l’égard des services de santé est positive.</w:t>
            </w:r>
          </w:p>
          <w:p w14:paraId="280820AF" w14:textId="77777777" w:rsidR="005F6AF2" w:rsidRPr="00576FD6" w:rsidRDefault="005F6AF2" w:rsidP="00576FD6">
            <w:pPr>
              <w:pStyle w:val="Heading-RowA"/>
              <w:spacing w:line="240" w:lineRule="auto"/>
              <w:ind w:left="0" w:firstLine="0"/>
              <w:rPr>
                <w:b w:val="0"/>
                <w:bCs/>
                <w:color w:val="D41B5A"/>
              </w:rPr>
            </w:pPr>
            <w:r w:rsidRPr="00576FD6">
              <w:rPr>
                <w:b w:val="0"/>
                <w:bCs/>
                <w:color w:val="D41B5A"/>
              </w:rPr>
              <w:t xml:space="preserve">Indicateur : Avis d’ensemble des patients à l’égard de leur expérience à l’égard des services de santé </w:t>
            </w:r>
          </w:p>
          <w:p w14:paraId="4F3EE0B3" w14:textId="5F826276" w:rsidR="00527CC9" w:rsidRPr="002F3A88" w:rsidRDefault="005F6AF2" w:rsidP="00576FD6">
            <w:pPr>
              <w:pStyle w:val="Heading-RowA"/>
              <w:spacing w:line="240" w:lineRule="auto"/>
              <w:ind w:left="0" w:firstLine="0"/>
            </w:pPr>
            <w:r w:rsidRPr="00576FD6">
              <w:rPr>
                <w:b w:val="0"/>
                <w:bCs/>
                <w:color w:val="D41B5A"/>
              </w:rPr>
              <w:t>Indicateur : Avis d’ensemble des prestataires à l’égard de leur expérience à l’égard des services de santé</w:t>
            </w:r>
          </w:p>
        </w:tc>
        <w:tc>
          <w:tcPr>
            <w:tcW w:w="567" w:type="dxa"/>
            <w:tcBorders>
              <w:top w:val="single" w:sz="4" w:space="0" w:color="7C2855"/>
              <w:left w:val="single" w:sz="4" w:space="0" w:color="7C2855"/>
              <w:bottom w:val="single" w:sz="4" w:space="0" w:color="7C2855"/>
            </w:tcBorders>
            <w:shd w:val="clear" w:color="auto" w:fill="DFE0DE"/>
          </w:tcPr>
          <w:p w14:paraId="3A3F2033" w14:textId="2F5CDAAB" w:rsidR="00527CC9" w:rsidRPr="002F3A88" w:rsidRDefault="00527CC9" w:rsidP="00D46623">
            <w:pPr>
              <w:pStyle w:val="Heading1"/>
              <w:rPr>
                <w:rFonts w:asciiTheme="minorHAnsi" w:hAnsiTheme="minorHAnsi" w:cstheme="minorHAnsi"/>
                <w:noProof/>
                <w:lang w:val="fr-CA"/>
              </w:rPr>
            </w:pPr>
            <w:r w:rsidRPr="002F3A88">
              <w:rPr>
                <w:rFonts w:asciiTheme="minorHAnsi" w:hAnsiTheme="minorHAnsi" w:cstheme="minorHAnsi"/>
                <w:noProof/>
                <w:lang w:val="fr-CA"/>
              </w:rPr>
              <w:t>1.3.1</w:t>
            </w:r>
          </w:p>
        </w:tc>
        <w:tc>
          <w:tcPr>
            <w:tcW w:w="2835" w:type="dxa"/>
            <w:tcBorders>
              <w:top w:val="single" w:sz="4" w:space="0" w:color="7C2855"/>
              <w:bottom w:val="single" w:sz="4" w:space="0" w:color="7C2855"/>
              <w:right w:val="single" w:sz="4" w:space="0" w:color="7C2855"/>
            </w:tcBorders>
            <w:shd w:val="clear" w:color="auto" w:fill="DFE0DE"/>
          </w:tcPr>
          <w:p w14:paraId="4D9B0F07" w14:textId="77777777" w:rsidR="00527CC9" w:rsidRPr="002F3A88" w:rsidRDefault="00027832" w:rsidP="00A9489B">
            <w:pPr>
              <w:rPr>
                <w:noProof/>
                <w:lang w:val="fr-CA"/>
              </w:rPr>
            </w:pPr>
            <w:r w:rsidRPr="002F3A88">
              <w:rPr>
                <w:noProof/>
                <w:lang w:val="fr-CA"/>
              </w:rPr>
              <w:t>Les données des indicateurs d’expérience rapportées par les patients (IERP) et les indicateurs de résultats rapportés par les patients (IRRP) sont recueillies et compilées et indiquent des améliorations dans les expériences et les résultats</w:t>
            </w:r>
          </w:p>
          <w:p w14:paraId="22C310F5" w14:textId="657827C8" w:rsidR="00027832" w:rsidRPr="002F3A88" w:rsidRDefault="00027832" w:rsidP="00A9489B">
            <w:pPr>
              <w:rPr>
                <w:noProof/>
                <w:lang w:val="fr-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306E44F9" w14:textId="48AA59A0" w:rsidR="00527CC9" w:rsidRPr="002F3A88" w:rsidRDefault="00527CC9" w:rsidP="002A163F">
            <w:pPr>
              <w:rPr>
                <w:noProof/>
                <w:lang w:val="fr-CA"/>
              </w:rPr>
            </w:pPr>
          </w:p>
        </w:tc>
      </w:tr>
      <w:tr w:rsidR="00B85B5A" w:rsidRPr="00167B0E" w14:paraId="7145FF79" w14:textId="77777777" w:rsidTr="003A22A1">
        <w:trPr>
          <w:cantSplit/>
        </w:trPr>
        <w:tc>
          <w:tcPr>
            <w:tcW w:w="3792" w:type="dxa"/>
            <w:vMerge/>
          </w:tcPr>
          <w:p w14:paraId="14D42F25" w14:textId="77777777" w:rsidR="00527CC9" w:rsidRPr="002F3A88" w:rsidRDefault="00527CC9" w:rsidP="00A9489B">
            <w:pPr>
              <w:pStyle w:val="HeadLevel4Framework-Styles"/>
              <w:rPr>
                <w:noProof/>
                <w:lang w:val="fr-CA"/>
              </w:rPr>
            </w:pPr>
          </w:p>
        </w:tc>
        <w:tc>
          <w:tcPr>
            <w:tcW w:w="567" w:type="dxa"/>
            <w:vMerge/>
          </w:tcPr>
          <w:p w14:paraId="2B215464" w14:textId="77777777" w:rsidR="00527CC9" w:rsidRPr="002F3A88" w:rsidRDefault="00527CC9" w:rsidP="00A9489B">
            <w:pPr>
              <w:pStyle w:val="HeadLevel4Framework-Styles"/>
              <w:rPr>
                <w:noProof/>
                <w:lang w:val="fr-CA"/>
              </w:rPr>
            </w:pPr>
          </w:p>
        </w:tc>
        <w:tc>
          <w:tcPr>
            <w:tcW w:w="2835" w:type="dxa"/>
            <w:vMerge/>
          </w:tcPr>
          <w:p w14:paraId="38AF51C7" w14:textId="77777777" w:rsidR="00527CC9" w:rsidRPr="002F3A88" w:rsidRDefault="00527CC9" w:rsidP="00A9489B">
            <w:pPr>
              <w:pStyle w:val="HeadLevel4Framework-Styles"/>
              <w:rPr>
                <w:noProof/>
                <w:lang w:val="fr-CA"/>
              </w:rPr>
            </w:pPr>
          </w:p>
        </w:tc>
        <w:tc>
          <w:tcPr>
            <w:tcW w:w="567" w:type="dxa"/>
            <w:tcBorders>
              <w:top w:val="single" w:sz="4" w:space="0" w:color="7C2855"/>
              <w:left w:val="single" w:sz="4" w:space="0" w:color="7C2855"/>
              <w:bottom w:val="single" w:sz="4" w:space="0" w:color="7C2855"/>
            </w:tcBorders>
            <w:shd w:val="clear" w:color="auto" w:fill="DFE0DE"/>
          </w:tcPr>
          <w:p w14:paraId="38E103C7" w14:textId="5C178439" w:rsidR="00527CC9" w:rsidRPr="002F3A88" w:rsidRDefault="00527CC9" w:rsidP="00D46623">
            <w:pPr>
              <w:pStyle w:val="Heading1"/>
              <w:rPr>
                <w:rFonts w:asciiTheme="minorHAnsi" w:hAnsiTheme="minorHAnsi" w:cstheme="minorHAnsi"/>
                <w:noProof/>
                <w:lang w:val="fr-CA"/>
              </w:rPr>
            </w:pPr>
            <w:r w:rsidRPr="002F3A88">
              <w:rPr>
                <w:rFonts w:asciiTheme="minorHAnsi" w:hAnsiTheme="minorHAnsi" w:cstheme="minorHAnsi"/>
                <w:noProof/>
                <w:lang w:val="fr-CA"/>
              </w:rPr>
              <w:t>1.3.2</w:t>
            </w:r>
          </w:p>
        </w:tc>
        <w:tc>
          <w:tcPr>
            <w:tcW w:w="2835" w:type="dxa"/>
            <w:tcBorders>
              <w:top w:val="single" w:sz="4" w:space="0" w:color="7C2855"/>
              <w:bottom w:val="single" w:sz="4" w:space="0" w:color="7C2855"/>
              <w:right w:val="single" w:sz="4" w:space="0" w:color="7C2855"/>
            </w:tcBorders>
            <w:shd w:val="clear" w:color="auto" w:fill="DFE0DE"/>
          </w:tcPr>
          <w:p w14:paraId="4A5006B8" w14:textId="77777777" w:rsidR="00527CC9" w:rsidRPr="002F3A88" w:rsidRDefault="00027832" w:rsidP="00A9489B">
            <w:pPr>
              <w:rPr>
                <w:noProof/>
                <w:lang w:val="fr-CA"/>
              </w:rPr>
            </w:pPr>
            <w:r w:rsidRPr="002F3A88">
              <w:rPr>
                <w:noProof/>
                <w:lang w:val="fr-CA"/>
              </w:rPr>
              <w:t>Les patients, indépendamment de leurs antécédents et de leurs circonstances, sont engagés et signalent leurs expériences liées aux services de santé.</w:t>
            </w:r>
          </w:p>
          <w:p w14:paraId="2B5AC3E2" w14:textId="000B3DD7" w:rsidR="00027832" w:rsidRPr="002F3A88" w:rsidRDefault="00027832" w:rsidP="00A9489B">
            <w:pPr>
              <w:rPr>
                <w:noProof/>
                <w:lang w:val="fr-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54197FBB" w14:textId="77777777" w:rsidR="00527CC9" w:rsidRPr="002F3A88" w:rsidRDefault="00527CC9" w:rsidP="002A163F">
            <w:pPr>
              <w:rPr>
                <w:noProof/>
                <w:lang w:val="fr-CA"/>
              </w:rPr>
            </w:pPr>
          </w:p>
        </w:tc>
      </w:tr>
      <w:tr w:rsidR="00B85B5A" w:rsidRPr="00167B0E" w14:paraId="2E72505A" w14:textId="77777777" w:rsidTr="00B843FA">
        <w:trPr>
          <w:cantSplit/>
          <w:trHeight w:val="2778"/>
        </w:trPr>
        <w:tc>
          <w:tcPr>
            <w:tcW w:w="3792" w:type="dxa"/>
            <w:vMerge/>
          </w:tcPr>
          <w:p w14:paraId="479BDBEE" w14:textId="77777777" w:rsidR="00527CC9" w:rsidRPr="002F3A88" w:rsidRDefault="00527CC9" w:rsidP="00A9489B">
            <w:pPr>
              <w:pStyle w:val="HeadLevel4Framework-Styles"/>
              <w:rPr>
                <w:noProof/>
                <w:lang w:val="fr-CA"/>
              </w:rPr>
            </w:pPr>
          </w:p>
        </w:tc>
        <w:tc>
          <w:tcPr>
            <w:tcW w:w="567" w:type="dxa"/>
            <w:vMerge/>
          </w:tcPr>
          <w:p w14:paraId="41511E77" w14:textId="77777777" w:rsidR="00527CC9" w:rsidRPr="002F3A88" w:rsidRDefault="00527CC9" w:rsidP="00A9489B">
            <w:pPr>
              <w:pStyle w:val="HeadLevel4Framework-Styles"/>
              <w:rPr>
                <w:noProof/>
                <w:lang w:val="fr-CA"/>
              </w:rPr>
            </w:pPr>
          </w:p>
        </w:tc>
        <w:tc>
          <w:tcPr>
            <w:tcW w:w="2835" w:type="dxa"/>
            <w:vMerge/>
          </w:tcPr>
          <w:p w14:paraId="600A8F60" w14:textId="77777777" w:rsidR="00527CC9" w:rsidRPr="002F3A88" w:rsidRDefault="00527CC9" w:rsidP="00A9489B">
            <w:pPr>
              <w:pStyle w:val="HeadLevel4Framework-Styles"/>
              <w:rPr>
                <w:noProof/>
                <w:lang w:val="fr-CA"/>
              </w:rPr>
            </w:pPr>
          </w:p>
        </w:tc>
        <w:tc>
          <w:tcPr>
            <w:tcW w:w="567" w:type="dxa"/>
            <w:tcBorders>
              <w:top w:val="single" w:sz="4" w:space="0" w:color="7C2855"/>
              <w:left w:val="single" w:sz="4" w:space="0" w:color="7C2855"/>
            </w:tcBorders>
            <w:shd w:val="clear" w:color="auto" w:fill="DFE0DE"/>
          </w:tcPr>
          <w:p w14:paraId="102B2F0B" w14:textId="481F4835" w:rsidR="00527CC9" w:rsidRPr="002F3A88" w:rsidRDefault="00527CC9" w:rsidP="00D46623">
            <w:pPr>
              <w:pStyle w:val="Heading1"/>
              <w:rPr>
                <w:rFonts w:asciiTheme="minorHAnsi" w:hAnsiTheme="minorHAnsi" w:cstheme="minorHAnsi"/>
                <w:noProof/>
                <w:lang w:val="fr-CA"/>
              </w:rPr>
            </w:pPr>
            <w:r w:rsidRPr="002F3A88">
              <w:rPr>
                <w:rFonts w:asciiTheme="minorHAnsi" w:hAnsiTheme="minorHAnsi" w:cstheme="minorHAnsi"/>
                <w:noProof/>
                <w:lang w:val="fr-CA"/>
              </w:rPr>
              <w:t>1.3.3</w:t>
            </w:r>
          </w:p>
        </w:tc>
        <w:tc>
          <w:tcPr>
            <w:tcW w:w="2835" w:type="dxa"/>
            <w:tcBorders>
              <w:top w:val="single" w:sz="4" w:space="0" w:color="7C2855"/>
              <w:right w:val="single" w:sz="4" w:space="0" w:color="7C2855"/>
            </w:tcBorders>
            <w:shd w:val="clear" w:color="auto" w:fill="DFE0DE"/>
          </w:tcPr>
          <w:p w14:paraId="63B87250" w14:textId="7C9D84CE" w:rsidR="00527CC9" w:rsidRPr="002F3A88" w:rsidRDefault="00027832" w:rsidP="00A9489B">
            <w:pPr>
              <w:rPr>
                <w:noProof/>
                <w:lang w:val="fr-CA"/>
              </w:rPr>
            </w:pPr>
            <w:r w:rsidRPr="002F3A88">
              <w:rPr>
                <w:noProof/>
                <w:lang w:val="fr-CA"/>
              </w:rPr>
              <w:t xml:space="preserve">Les prestataires sont engagés, et rapportent et tirent des enseignements de leurs expériences liées aux services de santé.  </w:t>
            </w:r>
          </w:p>
        </w:tc>
        <w:tc>
          <w:tcPr>
            <w:tcW w:w="2835" w:type="dxa"/>
            <w:tcBorders>
              <w:top w:val="single" w:sz="4" w:space="0" w:color="7C2855"/>
              <w:left w:val="single" w:sz="4" w:space="0" w:color="7C2855"/>
            </w:tcBorders>
            <w:shd w:val="clear" w:color="auto" w:fill="F2F2F2" w:themeFill="background1" w:themeFillShade="F2"/>
          </w:tcPr>
          <w:p w14:paraId="3606658B" w14:textId="77777777" w:rsidR="00527CC9" w:rsidRPr="002F3A88" w:rsidRDefault="00527CC9" w:rsidP="002A163F">
            <w:pPr>
              <w:rPr>
                <w:noProof/>
                <w:lang w:val="fr-CA"/>
              </w:rPr>
            </w:pPr>
          </w:p>
        </w:tc>
      </w:tr>
    </w:tbl>
    <w:p w14:paraId="5A5F710C" w14:textId="77777777" w:rsidR="00D46623" w:rsidRPr="002F3A88" w:rsidRDefault="00D46623" w:rsidP="00A9489B">
      <w:pPr>
        <w:rPr>
          <w:noProof/>
          <w:lang w:val="fr-CA"/>
        </w:rPr>
      </w:pPr>
      <w:r w:rsidRPr="002F3A88">
        <w:rPr>
          <w:noProof/>
          <w:lang w:val="fr-CA"/>
        </w:rPr>
        <w:br w:type="page"/>
      </w:r>
    </w:p>
    <w:tbl>
      <w:tblPr>
        <w:tblStyle w:val="TableGrid"/>
        <w:tblW w:w="13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565"/>
        <w:gridCol w:w="2825"/>
        <w:gridCol w:w="622"/>
        <w:gridCol w:w="2835"/>
        <w:gridCol w:w="2835"/>
      </w:tblGrid>
      <w:tr w:rsidR="00027832" w:rsidRPr="002F3A88" w14:paraId="0172AFD9" w14:textId="77777777" w:rsidTr="004F7937">
        <w:trPr>
          <w:cantSplit/>
          <w:tblHeader/>
        </w:trPr>
        <w:tc>
          <w:tcPr>
            <w:tcW w:w="3768" w:type="dxa"/>
          </w:tcPr>
          <w:p w14:paraId="588B4DE2" w14:textId="0220BA14" w:rsidR="00027832" w:rsidRPr="002F3A88" w:rsidRDefault="00027832" w:rsidP="00027832">
            <w:pPr>
              <w:rPr>
                <w:noProof/>
                <w:lang w:val="fr-CA"/>
              </w:rPr>
            </w:pPr>
            <w:r w:rsidRPr="002F3A88">
              <w:rPr>
                <w:noProof/>
                <w:lang w:val="fr-CA"/>
              </w:rPr>
              <w:lastRenderedPageBreak/>
              <w:drawing>
                <wp:anchor distT="0" distB="0" distL="114300" distR="114300" simplePos="0" relativeHeight="251658240" behindDoc="0" locked="0" layoutInCell="1" allowOverlap="1" wp14:anchorId="22F714AB" wp14:editId="5BB9BDD1">
                  <wp:simplePos x="0" y="0"/>
                  <wp:positionH relativeFrom="column">
                    <wp:posOffset>47398</wp:posOffset>
                  </wp:positionH>
                  <wp:positionV relativeFrom="paragraph">
                    <wp:posOffset>394362</wp:posOffset>
                  </wp:positionV>
                  <wp:extent cx="2270654" cy="2740025"/>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0654" cy="2740025"/>
                          </a:xfrm>
                          <a:prstGeom prst="rect">
                            <a:avLst/>
                          </a:prstGeom>
                        </pic:spPr>
                      </pic:pic>
                    </a:graphicData>
                  </a:graphic>
                </wp:anchor>
              </w:drawing>
            </w:r>
          </w:p>
        </w:tc>
        <w:tc>
          <w:tcPr>
            <w:tcW w:w="565" w:type="dxa"/>
            <w:tcBorders>
              <w:bottom w:val="single" w:sz="18" w:space="0" w:color="7C2855"/>
            </w:tcBorders>
          </w:tcPr>
          <w:p w14:paraId="7337C099" w14:textId="77777777" w:rsidR="00027832" w:rsidRPr="002F3A88" w:rsidRDefault="00027832" w:rsidP="00027832">
            <w:pPr>
              <w:rPr>
                <w:noProof/>
                <w:lang w:val="fr-CA"/>
              </w:rPr>
            </w:pPr>
          </w:p>
        </w:tc>
        <w:tc>
          <w:tcPr>
            <w:tcW w:w="2825" w:type="dxa"/>
            <w:tcBorders>
              <w:bottom w:val="single" w:sz="18" w:space="0" w:color="7C2855"/>
            </w:tcBorders>
          </w:tcPr>
          <w:p w14:paraId="3CE4A432" w14:textId="44D83959" w:rsidR="00027832" w:rsidRPr="002F3A88" w:rsidRDefault="00027832" w:rsidP="00FE78A7">
            <w:pPr>
              <w:pStyle w:val="Heading-ColumnA"/>
            </w:pPr>
            <w:r w:rsidRPr="002F3A88">
              <w:t>Buts</w:t>
            </w:r>
          </w:p>
        </w:tc>
        <w:tc>
          <w:tcPr>
            <w:tcW w:w="622" w:type="dxa"/>
            <w:tcBorders>
              <w:bottom w:val="single" w:sz="18" w:space="0" w:color="7C2855"/>
            </w:tcBorders>
          </w:tcPr>
          <w:p w14:paraId="2A7BDA52" w14:textId="77777777" w:rsidR="00027832" w:rsidRPr="002F3A88" w:rsidRDefault="00027832" w:rsidP="00027832">
            <w:pPr>
              <w:pStyle w:val="Heading2"/>
              <w:rPr>
                <w:rFonts w:asciiTheme="minorHAnsi" w:hAnsiTheme="minorHAnsi" w:cstheme="minorHAnsi"/>
                <w:b/>
                <w:bCs/>
                <w:noProof/>
                <w:lang w:val="fr-CA"/>
              </w:rPr>
            </w:pPr>
          </w:p>
        </w:tc>
        <w:tc>
          <w:tcPr>
            <w:tcW w:w="2835" w:type="dxa"/>
            <w:tcBorders>
              <w:bottom w:val="single" w:sz="18" w:space="0" w:color="7C2855"/>
            </w:tcBorders>
          </w:tcPr>
          <w:p w14:paraId="6C73528E" w14:textId="0B79F2B7" w:rsidR="00027832" w:rsidRPr="002F3A88" w:rsidRDefault="00027832" w:rsidP="00FE78A7">
            <w:pPr>
              <w:pStyle w:val="Heading-ColumnA"/>
            </w:pPr>
            <w:r w:rsidRPr="002F3A88">
              <w:t>Résultat</w:t>
            </w:r>
          </w:p>
        </w:tc>
        <w:tc>
          <w:tcPr>
            <w:tcW w:w="2835" w:type="dxa"/>
            <w:tcBorders>
              <w:bottom w:val="single" w:sz="18" w:space="0" w:color="7C2855"/>
            </w:tcBorders>
          </w:tcPr>
          <w:p w14:paraId="1F32F877" w14:textId="77CC0630" w:rsidR="00027832" w:rsidRPr="002F3A88" w:rsidRDefault="00D84E53" w:rsidP="00FE78A7">
            <w:pPr>
              <w:pStyle w:val="Heading-ColumnA"/>
            </w:pPr>
            <w:r w:rsidRPr="00BA78A3">
              <w:t>Vos</w:t>
            </w:r>
            <w:r w:rsidR="00027832" w:rsidRPr="00BA78A3">
              <w:t xml:space="preserve"> </w:t>
            </w:r>
            <w:r w:rsidRPr="00BA78A3">
              <w:t>i</w:t>
            </w:r>
            <w:r w:rsidR="00027832" w:rsidRPr="00BA78A3">
              <w:t>nitiatives</w:t>
            </w:r>
          </w:p>
        </w:tc>
      </w:tr>
      <w:tr w:rsidR="00527CC9" w:rsidRPr="00167B0E" w14:paraId="08A86BB3" w14:textId="77777777" w:rsidTr="003A22A1">
        <w:trPr>
          <w:cantSplit/>
          <w:tblHeader/>
        </w:trPr>
        <w:tc>
          <w:tcPr>
            <w:tcW w:w="3768" w:type="dxa"/>
            <w:vMerge w:val="restart"/>
          </w:tcPr>
          <w:p w14:paraId="27D0B74E" w14:textId="3C2D80CC" w:rsidR="00527CC9" w:rsidRPr="002F3A88" w:rsidRDefault="005000FB" w:rsidP="00A9489B">
            <w:pPr>
              <w:rPr>
                <w:noProof/>
                <w:lang w:val="fr-CA"/>
              </w:rPr>
            </w:pPr>
            <w:r>
              <w:rPr>
                <w:noProof/>
                <w:lang w:val="fr-CA"/>
              </w:rPr>
              <mc:AlternateContent>
                <mc:Choice Requires="wps">
                  <w:drawing>
                    <wp:inline distT="0" distB="0" distL="0" distR="0" wp14:anchorId="38B2ED4D" wp14:editId="0BF9D95A">
                      <wp:extent cx="45719" cy="51759"/>
                      <wp:effectExtent l="57150" t="19050" r="69215" b="5715"/>
                      <wp:docPr id="126347476" name="Rectangle 6" descr="Image mettant en évidence l’Objectif 2 – Soins sécuritaires, que les services de santé sont sécuritaires et ne causent pas de préjudices évitables."/>
                      <wp:cNvGraphicFramePr/>
                      <a:graphic xmlns:a="http://schemas.openxmlformats.org/drawingml/2006/main">
                        <a:graphicData uri="http://schemas.microsoft.com/office/word/2010/wordprocessingShape">
                          <wps:wsp>
                            <wps:cNvSpPr/>
                            <wps:spPr>
                              <a:xfrm>
                                <a:off x="0" y="0"/>
                                <a:ext cx="45719" cy="517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5946A3" id="Rectangle 6" o:spid="_x0000_s1026" alt="Image mettant en évidence l’Objectif 2 – Soins sécuritaires, que les services de santé sont sécuritaires et ne causent pas de préjudices évitables." style="width:3.6pt;height: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" filled="f" stroked="f" strokeweight="1pt">
                      <w10:anchorlock/>
                    </v:rect>
                  </w:pict>
                </mc:Fallback>
              </mc:AlternateContent>
            </w:r>
          </w:p>
        </w:tc>
        <w:tc>
          <w:tcPr>
            <w:tcW w:w="565" w:type="dxa"/>
            <w:vMerge w:val="restart"/>
            <w:tcBorders>
              <w:top w:val="single" w:sz="18" w:space="0" w:color="7C2855"/>
            </w:tcBorders>
            <w:shd w:val="clear" w:color="auto" w:fill="DFE0DE"/>
          </w:tcPr>
          <w:p w14:paraId="0D14E9E8" w14:textId="16277373" w:rsidR="00527CC9" w:rsidRPr="002F3A88" w:rsidRDefault="00527CC9" w:rsidP="00473603">
            <w:pPr>
              <w:pStyle w:val="Heading-RowA"/>
            </w:pPr>
            <w:r w:rsidRPr="002F3A88">
              <w:t>2.1</w:t>
            </w:r>
          </w:p>
        </w:tc>
        <w:tc>
          <w:tcPr>
            <w:tcW w:w="2825" w:type="dxa"/>
            <w:vMerge w:val="restart"/>
            <w:tcBorders>
              <w:top w:val="single" w:sz="18" w:space="0" w:color="7C2855"/>
              <w:right w:val="single" w:sz="4" w:space="0" w:color="7C2855"/>
            </w:tcBorders>
            <w:shd w:val="clear" w:color="auto" w:fill="DFE0DE"/>
          </w:tcPr>
          <w:p w14:paraId="75AD76E7" w14:textId="77777777" w:rsidR="00563266" w:rsidRPr="00473603" w:rsidRDefault="00563266" w:rsidP="00473603">
            <w:pPr>
              <w:pStyle w:val="Heading-RowA"/>
              <w:spacing w:line="240" w:lineRule="auto"/>
              <w:ind w:left="0" w:firstLine="0"/>
              <w:rPr>
                <w:b w:val="0"/>
                <w:bCs/>
                <w:color w:val="404041"/>
              </w:rPr>
            </w:pPr>
            <w:r w:rsidRPr="00473603">
              <w:rPr>
                <w:b w:val="0"/>
                <w:bCs/>
                <w:color w:val="404041"/>
              </w:rPr>
              <w:t>Une culture de la sécurité se manifeste clairement à l’échelle du continuum des services de santé.</w:t>
            </w:r>
          </w:p>
          <w:p w14:paraId="1AB7827E" w14:textId="77777777" w:rsidR="00563266" w:rsidRPr="00473603" w:rsidRDefault="00563266" w:rsidP="00473603">
            <w:pPr>
              <w:pStyle w:val="Heading-RowA"/>
              <w:spacing w:line="240" w:lineRule="auto"/>
              <w:ind w:left="0" w:firstLine="0"/>
              <w:rPr>
                <w:b w:val="0"/>
                <w:bCs/>
                <w:color w:val="D41B5A"/>
              </w:rPr>
            </w:pPr>
            <w:r w:rsidRPr="00473603">
              <w:rPr>
                <w:b w:val="0"/>
                <w:bCs/>
                <w:color w:val="D41B5A"/>
              </w:rPr>
              <w:t>Indicateur : Évaluation des efforts organisationnels visant à suivre, examiner et traiter les incidents de sécurité des patients</w:t>
            </w:r>
          </w:p>
          <w:p w14:paraId="765E1B98" w14:textId="0D15D7F2" w:rsidR="00527CC9" w:rsidRPr="002F3A88" w:rsidRDefault="00563266" w:rsidP="00473603">
            <w:pPr>
              <w:pStyle w:val="Heading-RowA"/>
              <w:spacing w:line="240" w:lineRule="auto"/>
              <w:ind w:left="0" w:firstLine="0"/>
            </w:pPr>
            <w:r w:rsidRPr="00473603">
              <w:rPr>
                <w:b w:val="0"/>
                <w:bCs/>
                <w:color w:val="D41B5A"/>
              </w:rPr>
              <w:t>Indicateur : Formation sur l’amélioration de la qualité et la sécurité des patients offerte à tous les niveaux organisationnels</w:t>
            </w:r>
          </w:p>
        </w:tc>
        <w:tc>
          <w:tcPr>
            <w:tcW w:w="622" w:type="dxa"/>
            <w:tcBorders>
              <w:top w:val="single" w:sz="18" w:space="0" w:color="7C2855"/>
              <w:left w:val="single" w:sz="4" w:space="0" w:color="7C2855"/>
              <w:bottom w:val="single" w:sz="4" w:space="0" w:color="7C2855"/>
            </w:tcBorders>
            <w:shd w:val="clear" w:color="auto" w:fill="DFE0DE"/>
          </w:tcPr>
          <w:p w14:paraId="13558228" w14:textId="3947E77D" w:rsidR="00527CC9" w:rsidRPr="002F3A88" w:rsidRDefault="00527CC9" w:rsidP="003A22A1">
            <w:pPr>
              <w:pStyle w:val="Heading1"/>
              <w:rPr>
                <w:noProof/>
                <w:lang w:val="fr-CA"/>
              </w:rPr>
            </w:pPr>
            <w:r w:rsidRPr="002F3A88">
              <w:rPr>
                <w:noProof/>
                <w:lang w:val="fr-CA"/>
              </w:rPr>
              <w:t>2.1.1</w:t>
            </w:r>
          </w:p>
        </w:tc>
        <w:tc>
          <w:tcPr>
            <w:tcW w:w="2835" w:type="dxa"/>
            <w:tcBorders>
              <w:top w:val="single" w:sz="18" w:space="0" w:color="7C2855"/>
              <w:bottom w:val="single" w:sz="4" w:space="0" w:color="7C2855"/>
              <w:right w:val="single" w:sz="4" w:space="0" w:color="7C2855"/>
            </w:tcBorders>
            <w:shd w:val="clear" w:color="auto" w:fill="DFE0DE"/>
          </w:tcPr>
          <w:p w14:paraId="5BF5147F" w14:textId="77777777" w:rsidR="004238E4" w:rsidRPr="002F3A88" w:rsidRDefault="004238E4" w:rsidP="00ED3A1A">
            <w:pPr>
              <w:rPr>
                <w:noProof/>
                <w:lang w:val="fr-CA"/>
              </w:rPr>
            </w:pPr>
            <w:r w:rsidRPr="002F3A88">
              <w:rPr>
                <w:noProof/>
                <w:lang w:val="fr-CA"/>
              </w:rPr>
              <w:t xml:space="preserve">Les patients, les prestataires et les dirigeants sont encouragés à signaler les préoccupations et les incidents de sécurité des patients et à agir et on les appuie à cette fin. </w:t>
            </w:r>
          </w:p>
          <w:p w14:paraId="526EF200" w14:textId="77382D31" w:rsidR="00D3431A" w:rsidRPr="002F3A88" w:rsidRDefault="00D3431A" w:rsidP="00A9489B">
            <w:pPr>
              <w:rPr>
                <w:noProof/>
                <w:lang w:val="fr-CA"/>
              </w:rPr>
            </w:pP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0546D00E" w14:textId="77777777" w:rsidR="00527CC9" w:rsidRPr="002F3A88" w:rsidRDefault="00527CC9" w:rsidP="002A163F">
            <w:pPr>
              <w:rPr>
                <w:noProof/>
                <w:lang w:val="fr-CA"/>
              </w:rPr>
            </w:pPr>
          </w:p>
        </w:tc>
      </w:tr>
      <w:tr w:rsidR="00527CC9" w:rsidRPr="00167B0E" w14:paraId="16AEA7B0" w14:textId="77777777" w:rsidTr="003A22A1">
        <w:trPr>
          <w:cantSplit/>
          <w:tblHeader/>
        </w:trPr>
        <w:tc>
          <w:tcPr>
            <w:tcW w:w="3768" w:type="dxa"/>
            <w:vMerge/>
          </w:tcPr>
          <w:p w14:paraId="403877DC" w14:textId="77777777" w:rsidR="00527CC9" w:rsidRPr="002F3A88" w:rsidRDefault="00527CC9" w:rsidP="00A9489B">
            <w:pPr>
              <w:rPr>
                <w:noProof/>
                <w:lang w:val="fr-CA"/>
              </w:rPr>
            </w:pPr>
          </w:p>
        </w:tc>
        <w:tc>
          <w:tcPr>
            <w:tcW w:w="565" w:type="dxa"/>
            <w:vMerge/>
          </w:tcPr>
          <w:p w14:paraId="515B17D9" w14:textId="77777777" w:rsidR="00527CC9" w:rsidRPr="002F3A88" w:rsidRDefault="00527CC9" w:rsidP="003A22A1">
            <w:pPr>
              <w:pStyle w:val="Heading1"/>
              <w:rPr>
                <w:noProof/>
                <w:lang w:val="fr-CA"/>
              </w:rPr>
            </w:pPr>
          </w:p>
        </w:tc>
        <w:tc>
          <w:tcPr>
            <w:tcW w:w="2825" w:type="dxa"/>
            <w:vMerge/>
          </w:tcPr>
          <w:p w14:paraId="2EAED35F" w14:textId="77777777" w:rsidR="00527CC9" w:rsidRPr="002F3A88" w:rsidRDefault="00527CC9" w:rsidP="00A9489B">
            <w:pPr>
              <w:rPr>
                <w:noProof/>
                <w:lang w:val="fr-CA"/>
              </w:rPr>
            </w:pPr>
          </w:p>
        </w:tc>
        <w:tc>
          <w:tcPr>
            <w:tcW w:w="622" w:type="dxa"/>
            <w:tcBorders>
              <w:top w:val="single" w:sz="4" w:space="0" w:color="7C2855"/>
              <w:left w:val="single" w:sz="4" w:space="0" w:color="7C2855"/>
              <w:bottom w:val="single" w:sz="4" w:space="0" w:color="7C2855"/>
            </w:tcBorders>
            <w:shd w:val="clear" w:color="auto" w:fill="DFE0DE"/>
          </w:tcPr>
          <w:p w14:paraId="03EFC0CD" w14:textId="0A8AED02" w:rsidR="00527CC9" w:rsidRPr="002F3A88" w:rsidRDefault="00527CC9" w:rsidP="003A22A1">
            <w:pPr>
              <w:pStyle w:val="Heading1"/>
              <w:rPr>
                <w:noProof/>
                <w:lang w:val="fr-CA"/>
              </w:rPr>
            </w:pPr>
            <w:r w:rsidRPr="002F3A88">
              <w:rPr>
                <w:noProof/>
                <w:lang w:val="fr-CA"/>
              </w:rPr>
              <w:t>2.1.2</w:t>
            </w:r>
          </w:p>
        </w:tc>
        <w:tc>
          <w:tcPr>
            <w:tcW w:w="2835" w:type="dxa"/>
            <w:tcBorders>
              <w:top w:val="single" w:sz="4" w:space="0" w:color="7C2855"/>
              <w:bottom w:val="single" w:sz="4" w:space="0" w:color="7C2855"/>
              <w:right w:val="single" w:sz="4" w:space="0" w:color="7C2855"/>
            </w:tcBorders>
            <w:shd w:val="clear" w:color="auto" w:fill="DFE0DE"/>
          </w:tcPr>
          <w:p w14:paraId="547B418A" w14:textId="77777777" w:rsidR="004238E4" w:rsidRPr="002F3A88" w:rsidRDefault="004238E4" w:rsidP="00ED3A1A">
            <w:pPr>
              <w:rPr>
                <w:noProof/>
                <w:lang w:val="fr-CA"/>
              </w:rPr>
            </w:pPr>
            <w:r w:rsidRPr="002F3A88">
              <w:rPr>
                <w:noProof/>
                <w:lang w:val="fr-CA"/>
              </w:rPr>
              <w:t>Les événements préjudiciables subis par des patients sont divulgués au patient ou à sa famille dès qu’ils sont connus et documentés conformément aux politiques de l’organisation.</w:t>
            </w:r>
          </w:p>
          <w:p w14:paraId="1FC4316C" w14:textId="43CF6A24" w:rsidR="00D3431A" w:rsidRPr="002F3A88" w:rsidRDefault="00D3431A" w:rsidP="00A9489B">
            <w:pPr>
              <w:rPr>
                <w:noProof/>
                <w:lang w:val="fr-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44A8B182" w14:textId="77777777" w:rsidR="00527CC9" w:rsidRPr="002F3A88" w:rsidRDefault="00527CC9" w:rsidP="002A163F">
            <w:pPr>
              <w:rPr>
                <w:noProof/>
                <w:lang w:val="fr-CA"/>
              </w:rPr>
            </w:pPr>
          </w:p>
        </w:tc>
      </w:tr>
      <w:tr w:rsidR="00527CC9" w:rsidRPr="00167B0E" w14:paraId="595E6108" w14:textId="77777777" w:rsidTr="003A22A1">
        <w:trPr>
          <w:cantSplit/>
          <w:tblHeader/>
        </w:trPr>
        <w:tc>
          <w:tcPr>
            <w:tcW w:w="3768" w:type="dxa"/>
            <w:vMerge/>
          </w:tcPr>
          <w:p w14:paraId="4563CE26" w14:textId="77777777" w:rsidR="00527CC9" w:rsidRPr="002F3A88" w:rsidRDefault="00527CC9" w:rsidP="00A9489B">
            <w:pPr>
              <w:rPr>
                <w:noProof/>
                <w:lang w:val="fr-CA"/>
              </w:rPr>
            </w:pPr>
          </w:p>
        </w:tc>
        <w:tc>
          <w:tcPr>
            <w:tcW w:w="565" w:type="dxa"/>
            <w:vMerge/>
          </w:tcPr>
          <w:p w14:paraId="20E85F06" w14:textId="77777777" w:rsidR="00527CC9" w:rsidRPr="002F3A88" w:rsidRDefault="00527CC9" w:rsidP="003A22A1">
            <w:pPr>
              <w:pStyle w:val="Heading1"/>
              <w:rPr>
                <w:noProof/>
                <w:lang w:val="fr-CA"/>
              </w:rPr>
            </w:pPr>
          </w:p>
        </w:tc>
        <w:tc>
          <w:tcPr>
            <w:tcW w:w="2825" w:type="dxa"/>
            <w:vMerge/>
          </w:tcPr>
          <w:p w14:paraId="0D922D25" w14:textId="77777777" w:rsidR="00527CC9" w:rsidRPr="002F3A88" w:rsidRDefault="00527CC9" w:rsidP="00A9489B">
            <w:pPr>
              <w:rPr>
                <w:noProof/>
                <w:lang w:val="fr-CA"/>
              </w:rPr>
            </w:pPr>
          </w:p>
        </w:tc>
        <w:tc>
          <w:tcPr>
            <w:tcW w:w="622" w:type="dxa"/>
            <w:tcBorders>
              <w:top w:val="single" w:sz="4" w:space="0" w:color="7C2855"/>
              <w:left w:val="single" w:sz="4" w:space="0" w:color="7C2855"/>
              <w:bottom w:val="single" w:sz="4" w:space="0" w:color="7C2855"/>
            </w:tcBorders>
            <w:shd w:val="clear" w:color="auto" w:fill="DFE0DE"/>
          </w:tcPr>
          <w:p w14:paraId="3BDA8E41" w14:textId="079E5448" w:rsidR="00527CC9" w:rsidRPr="002F3A88" w:rsidRDefault="00527CC9" w:rsidP="003A22A1">
            <w:pPr>
              <w:pStyle w:val="Heading1"/>
              <w:rPr>
                <w:noProof/>
                <w:lang w:val="fr-CA"/>
              </w:rPr>
            </w:pPr>
            <w:r w:rsidRPr="002F3A88">
              <w:rPr>
                <w:noProof/>
                <w:lang w:val="fr-CA"/>
              </w:rPr>
              <w:t>2.1.3</w:t>
            </w:r>
          </w:p>
        </w:tc>
        <w:tc>
          <w:tcPr>
            <w:tcW w:w="2835" w:type="dxa"/>
            <w:tcBorders>
              <w:top w:val="single" w:sz="4" w:space="0" w:color="7C2855"/>
              <w:bottom w:val="single" w:sz="4" w:space="0" w:color="7C2855"/>
              <w:right w:val="single" w:sz="4" w:space="0" w:color="7C2855"/>
            </w:tcBorders>
            <w:shd w:val="clear" w:color="auto" w:fill="DFE0DE"/>
          </w:tcPr>
          <w:p w14:paraId="74A3C8EA" w14:textId="77777777" w:rsidR="00D3431A" w:rsidRPr="002F3A88" w:rsidRDefault="004238E4" w:rsidP="00A9489B">
            <w:pPr>
              <w:rPr>
                <w:noProof/>
                <w:lang w:val="fr-CA"/>
              </w:rPr>
            </w:pPr>
            <w:r w:rsidRPr="002F3A88">
              <w:rPr>
                <w:noProof/>
                <w:lang w:val="fr-CA"/>
              </w:rPr>
              <w:t>Les événements de sécurité des patients sont analysés et suivis par des équipes interdisciplinaires, qui comprennent des patients.</w:t>
            </w:r>
          </w:p>
          <w:p w14:paraId="4A9014BA" w14:textId="27F4C7DA" w:rsidR="00D3431A" w:rsidRPr="002F3A88" w:rsidRDefault="00D3431A" w:rsidP="00A9489B">
            <w:pPr>
              <w:rPr>
                <w:noProof/>
                <w:lang w:val="fr-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1477F77E" w14:textId="77777777" w:rsidR="00527CC9" w:rsidRPr="002F3A88" w:rsidRDefault="00527CC9" w:rsidP="002A163F">
            <w:pPr>
              <w:rPr>
                <w:noProof/>
                <w:lang w:val="fr-CA"/>
              </w:rPr>
            </w:pPr>
          </w:p>
        </w:tc>
      </w:tr>
      <w:tr w:rsidR="00527CC9" w:rsidRPr="00167B0E" w14:paraId="572D912C" w14:textId="77777777" w:rsidTr="003A22A1">
        <w:trPr>
          <w:cantSplit/>
          <w:tblHeader/>
        </w:trPr>
        <w:tc>
          <w:tcPr>
            <w:tcW w:w="3768" w:type="dxa"/>
            <w:vMerge/>
          </w:tcPr>
          <w:p w14:paraId="14BD5BF5" w14:textId="77777777" w:rsidR="00527CC9" w:rsidRPr="002F3A88" w:rsidRDefault="00527CC9" w:rsidP="00A9489B">
            <w:pPr>
              <w:rPr>
                <w:noProof/>
                <w:lang w:val="fr-CA"/>
              </w:rPr>
            </w:pPr>
          </w:p>
        </w:tc>
        <w:tc>
          <w:tcPr>
            <w:tcW w:w="565" w:type="dxa"/>
            <w:vMerge/>
          </w:tcPr>
          <w:p w14:paraId="3F7D76A2" w14:textId="77777777" w:rsidR="00527CC9" w:rsidRPr="002F3A88" w:rsidRDefault="00527CC9" w:rsidP="003A22A1">
            <w:pPr>
              <w:pStyle w:val="Heading1"/>
              <w:rPr>
                <w:noProof/>
                <w:lang w:val="fr-CA"/>
              </w:rPr>
            </w:pPr>
          </w:p>
        </w:tc>
        <w:tc>
          <w:tcPr>
            <w:tcW w:w="2825" w:type="dxa"/>
            <w:vMerge/>
          </w:tcPr>
          <w:p w14:paraId="4B3CFA45" w14:textId="77777777" w:rsidR="00527CC9" w:rsidRPr="002F3A88" w:rsidRDefault="00527CC9" w:rsidP="00A9489B">
            <w:pPr>
              <w:rPr>
                <w:noProof/>
                <w:lang w:val="fr-CA"/>
              </w:rPr>
            </w:pPr>
          </w:p>
        </w:tc>
        <w:tc>
          <w:tcPr>
            <w:tcW w:w="622" w:type="dxa"/>
            <w:tcBorders>
              <w:top w:val="single" w:sz="4" w:space="0" w:color="7C2855"/>
              <w:left w:val="single" w:sz="4" w:space="0" w:color="7C2855"/>
              <w:bottom w:val="single" w:sz="4" w:space="0" w:color="7C2855"/>
            </w:tcBorders>
            <w:shd w:val="clear" w:color="auto" w:fill="DFE0DE"/>
          </w:tcPr>
          <w:p w14:paraId="7D5A0599" w14:textId="7BF6C55B" w:rsidR="00527CC9" w:rsidRPr="002F3A88" w:rsidRDefault="00527CC9" w:rsidP="003A22A1">
            <w:pPr>
              <w:pStyle w:val="Heading1"/>
              <w:rPr>
                <w:noProof/>
                <w:lang w:val="fr-CA"/>
              </w:rPr>
            </w:pPr>
            <w:r w:rsidRPr="002F3A88">
              <w:rPr>
                <w:noProof/>
                <w:lang w:val="fr-CA"/>
              </w:rPr>
              <w:t>2.1.4</w:t>
            </w:r>
          </w:p>
        </w:tc>
        <w:tc>
          <w:tcPr>
            <w:tcW w:w="2835" w:type="dxa"/>
            <w:tcBorders>
              <w:top w:val="single" w:sz="4" w:space="0" w:color="7C2855"/>
              <w:bottom w:val="single" w:sz="4" w:space="0" w:color="7C2855"/>
              <w:right w:val="single" w:sz="4" w:space="0" w:color="7C2855"/>
            </w:tcBorders>
            <w:shd w:val="clear" w:color="auto" w:fill="DFE0DE"/>
          </w:tcPr>
          <w:p w14:paraId="3A280474" w14:textId="77777777" w:rsidR="0068414E" w:rsidRPr="002F3A88" w:rsidRDefault="0068414E" w:rsidP="00A9489B">
            <w:pPr>
              <w:rPr>
                <w:noProof/>
                <w:lang w:val="fr-CA"/>
              </w:rPr>
            </w:pPr>
            <w:r w:rsidRPr="002F3A88">
              <w:rPr>
                <w:noProof/>
                <w:lang w:val="fr-CA"/>
              </w:rPr>
              <w:t>Les patients qui ont subi des préjudices ont accès à des programmes de soutien psychologique.</w:t>
            </w:r>
          </w:p>
          <w:p w14:paraId="0195CB4D" w14:textId="1538ABEB" w:rsidR="00527CC9" w:rsidRPr="002F3A88" w:rsidRDefault="00527CC9" w:rsidP="00A9489B">
            <w:pPr>
              <w:rPr>
                <w:noProof/>
                <w:lang w:val="fr-CA"/>
              </w:rPr>
            </w:pPr>
            <w:r w:rsidRPr="002F3A88">
              <w:rPr>
                <w:noProof/>
                <w:lang w:val="fr-CA"/>
              </w:rPr>
              <w:t xml:space="preserve"> </w:t>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6AA5013E" w14:textId="77777777" w:rsidR="00527CC9" w:rsidRPr="002F3A88" w:rsidRDefault="00527CC9" w:rsidP="002A163F">
            <w:pPr>
              <w:rPr>
                <w:noProof/>
                <w:lang w:val="fr-CA"/>
              </w:rPr>
            </w:pPr>
          </w:p>
        </w:tc>
      </w:tr>
      <w:tr w:rsidR="00527CC9" w:rsidRPr="00167B0E" w14:paraId="0C69DB72" w14:textId="77777777" w:rsidTr="003A22A1">
        <w:trPr>
          <w:cantSplit/>
          <w:tblHeader/>
        </w:trPr>
        <w:tc>
          <w:tcPr>
            <w:tcW w:w="3768" w:type="dxa"/>
            <w:vMerge/>
          </w:tcPr>
          <w:p w14:paraId="0A272EA3" w14:textId="77777777" w:rsidR="00527CC9" w:rsidRPr="002F3A88" w:rsidRDefault="00527CC9" w:rsidP="00A9489B">
            <w:pPr>
              <w:rPr>
                <w:noProof/>
                <w:lang w:val="fr-CA"/>
              </w:rPr>
            </w:pPr>
          </w:p>
        </w:tc>
        <w:tc>
          <w:tcPr>
            <w:tcW w:w="565" w:type="dxa"/>
            <w:vMerge/>
          </w:tcPr>
          <w:p w14:paraId="1C34DB0A" w14:textId="77777777" w:rsidR="00527CC9" w:rsidRPr="002F3A88" w:rsidRDefault="00527CC9" w:rsidP="003A22A1">
            <w:pPr>
              <w:pStyle w:val="Heading1"/>
              <w:rPr>
                <w:noProof/>
                <w:lang w:val="fr-CA"/>
              </w:rPr>
            </w:pPr>
          </w:p>
        </w:tc>
        <w:tc>
          <w:tcPr>
            <w:tcW w:w="2825" w:type="dxa"/>
            <w:vMerge/>
          </w:tcPr>
          <w:p w14:paraId="32C3CE79" w14:textId="77777777" w:rsidR="00527CC9" w:rsidRPr="002F3A88" w:rsidRDefault="00527CC9" w:rsidP="00A9489B">
            <w:pPr>
              <w:rPr>
                <w:noProof/>
                <w:lang w:val="fr-CA"/>
              </w:rPr>
            </w:pPr>
          </w:p>
        </w:tc>
        <w:tc>
          <w:tcPr>
            <w:tcW w:w="622" w:type="dxa"/>
            <w:tcBorders>
              <w:top w:val="single" w:sz="4" w:space="0" w:color="7C2855"/>
              <w:left w:val="single" w:sz="4" w:space="0" w:color="7C2855"/>
              <w:bottom w:val="single" w:sz="4" w:space="0" w:color="7C2855"/>
            </w:tcBorders>
            <w:shd w:val="clear" w:color="auto" w:fill="DFE0DE"/>
          </w:tcPr>
          <w:p w14:paraId="1CD4C882" w14:textId="64A0FD42" w:rsidR="00527CC9" w:rsidRPr="002F3A88" w:rsidRDefault="00527CC9" w:rsidP="003A22A1">
            <w:pPr>
              <w:pStyle w:val="Heading1"/>
              <w:rPr>
                <w:noProof/>
                <w:lang w:val="fr-CA"/>
              </w:rPr>
            </w:pPr>
            <w:r w:rsidRPr="002F3A88">
              <w:rPr>
                <w:noProof/>
                <w:lang w:val="fr-CA"/>
              </w:rPr>
              <w:t>2.1.5</w:t>
            </w:r>
          </w:p>
        </w:tc>
        <w:tc>
          <w:tcPr>
            <w:tcW w:w="2835" w:type="dxa"/>
            <w:tcBorders>
              <w:top w:val="single" w:sz="4" w:space="0" w:color="7C2855"/>
              <w:bottom w:val="single" w:sz="4" w:space="0" w:color="7C2855"/>
              <w:right w:val="single" w:sz="4" w:space="0" w:color="7C2855"/>
            </w:tcBorders>
            <w:shd w:val="clear" w:color="auto" w:fill="DFE0DE"/>
          </w:tcPr>
          <w:p w14:paraId="667953BF" w14:textId="77777777" w:rsidR="00D3431A" w:rsidRPr="002F3A88" w:rsidRDefault="0068414E" w:rsidP="00A9489B">
            <w:pPr>
              <w:rPr>
                <w:noProof/>
                <w:lang w:val="fr-CA"/>
              </w:rPr>
            </w:pPr>
            <w:r w:rsidRPr="002F3A88">
              <w:rPr>
                <w:noProof/>
                <w:lang w:val="fr-CA"/>
              </w:rPr>
              <w:t xml:space="preserve">Les prestataires travaillent dans des environnements psychologiquement et physiquement sécuritaires et ont accès à des programmes de soutien psychologique. </w:t>
            </w:r>
          </w:p>
          <w:p w14:paraId="2A1CE0D2" w14:textId="0AA13BA1" w:rsidR="00D3431A" w:rsidRPr="002F3A88" w:rsidRDefault="00D3431A" w:rsidP="00A9489B">
            <w:pPr>
              <w:rPr>
                <w:noProof/>
                <w:lang w:val="fr-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30E9979B" w14:textId="77777777" w:rsidR="00527CC9" w:rsidRPr="002F3A88" w:rsidRDefault="00527CC9" w:rsidP="002A163F">
            <w:pPr>
              <w:rPr>
                <w:noProof/>
                <w:lang w:val="fr-CA"/>
              </w:rPr>
            </w:pPr>
          </w:p>
        </w:tc>
      </w:tr>
      <w:tr w:rsidR="00D5692D" w:rsidRPr="00167B0E" w14:paraId="1B52DEE6" w14:textId="77777777" w:rsidTr="00655A5E">
        <w:trPr>
          <w:cantSplit/>
          <w:tblHeader/>
        </w:trPr>
        <w:tc>
          <w:tcPr>
            <w:tcW w:w="3768" w:type="dxa"/>
            <w:vMerge/>
          </w:tcPr>
          <w:p w14:paraId="5414587D" w14:textId="77777777" w:rsidR="00D5692D" w:rsidRPr="002F3A88" w:rsidRDefault="00D5692D" w:rsidP="00A9489B">
            <w:pPr>
              <w:rPr>
                <w:noProof/>
                <w:lang w:val="fr-CA"/>
              </w:rPr>
            </w:pPr>
          </w:p>
        </w:tc>
        <w:tc>
          <w:tcPr>
            <w:tcW w:w="565" w:type="dxa"/>
            <w:vMerge w:val="restart"/>
            <w:tcBorders>
              <w:top w:val="single" w:sz="4" w:space="0" w:color="7C2855"/>
            </w:tcBorders>
            <w:shd w:val="clear" w:color="auto" w:fill="DFE0DE"/>
          </w:tcPr>
          <w:p w14:paraId="2B939678" w14:textId="083BE3CD" w:rsidR="00D5692D" w:rsidRPr="002F3A88" w:rsidRDefault="00D5692D" w:rsidP="00473603">
            <w:pPr>
              <w:pStyle w:val="Heading-RowA"/>
            </w:pPr>
            <w:r w:rsidRPr="002F3A88">
              <w:t>2.2</w:t>
            </w:r>
          </w:p>
        </w:tc>
        <w:tc>
          <w:tcPr>
            <w:tcW w:w="2825" w:type="dxa"/>
            <w:vMerge w:val="restart"/>
            <w:tcBorders>
              <w:top w:val="single" w:sz="4" w:space="0" w:color="7C2855"/>
              <w:right w:val="single" w:sz="4" w:space="0" w:color="7C2855"/>
            </w:tcBorders>
            <w:shd w:val="clear" w:color="auto" w:fill="DFE0DE"/>
          </w:tcPr>
          <w:p w14:paraId="7813407D" w14:textId="77777777" w:rsidR="0098596D" w:rsidRPr="00473603" w:rsidRDefault="0098596D" w:rsidP="00473603">
            <w:pPr>
              <w:pStyle w:val="Heading-RowA"/>
              <w:spacing w:line="240" w:lineRule="auto"/>
              <w:ind w:left="0" w:firstLine="0"/>
              <w:rPr>
                <w:b w:val="0"/>
                <w:bCs/>
                <w:color w:val="404041"/>
              </w:rPr>
            </w:pPr>
            <w:r w:rsidRPr="00473603">
              <w:rPr>
                <w:b w:val="0"/>
                <w:bCs/>
                <w:color w:val="404041"/>
              </w:rPr>
              <w:t>Des soins sécuritaires et efficaces sont fournis et font l’objet d’un suivi.</w:t>
            </w:r>
          </w:p>
          <w:p w14:paraId="159E0103" w14:textId="77777777" w:rsidR="0098596D" w:rsidRPr="00473603" w:rsidRDefault="0098596D" w:rsidP="00473603">
            <w:pPr>
              <w:pStyle w:val="Heading-RowA"/>
              <w:spacing w:line="240" w:lineRule="auto"/>
              <w:ind w:left="0" w:firstLine="0"/>
              <w:rPr>
                <w:b w:val="0"/>
                <w:bCs/>
                <w:color w:val="D41B5A"/>
              </w:rPr>
            </w:pPr>
            <w:r w:rsidRPr="00473603">
              <w:rPr>
                <w:b w:val="0"/>
                <w:bCs/>
                <w:color w:val="D41B5A"/>
              </w:rPr>
              <w:t>Indicateur : Taux de décès évitables (dans et hors de l’hôpital)</w:t>
            </w:r>
            <w:r w:rsidRPr="00473603">
              <w:rPr>
                <w:b w:val="0"/>
                <w:bCs/>
                <w:color w:val="D41B5A"/>
              </w:rPr>
              <w:tab/>
            </w:r>
          </w:p>
          <w:p w14:paraId="58003203" w14:textId="69997E78" w:rsidR="00D5692D" w:rsidRPr="002F3A88" w:rsidRDefault="0098596D" w:rsidP="00473603">
            <w:pPr>
              <w:pStyle w:val="Heading-RowA"/>
              <w:spacing w:line="240" w:lineRule="auto"/>
              <w:ind w:left="0" w:firstLine="0"/>
            </w:pPr>
            <w:r w:rsidRPr="00473603">
              <w:rPr>
                <w:b w:val="0"/>
                <w:bCs/>
                <w:color w:val="D41B5A"/>
              </w:rPr>
              <w:t>Indicateur : Taux de préjudices subis par des patients</w:t>
            </w:r>
          </w:p>
        </w:tc>
        <w:tc>
          <w:tcPr>
            <w:tcW w:w="622" w:type="dxa"/>
            <w:tcBorders>
              <w:top w:val="single" w:sz="4" w:space="0" w:color="7C2855"/>
              <w:left w:val="single" w:sz="4" w:space="0" w:color="7C2855"/>
            </w:tcBorders>
            <w:shd w:val="clear" w:color="auto" w:fill="DFE0DE"/>
          </w:tcPr>
          <w:p w14:paraId="4ECDA883" w14:textId="77777777" w:rsidR="00D5692D" w:rsidRPr="002F3A88" w:rsidRDefault="00D5692D" w:rsidP="003A22A1">
            <w:pPr>
              <w:pStyle w:val="Heading1"/>
              <w:rPr>
                <w:noProof/>
                <w:lang w:val="fr-CA"/>
              </w:rPr>
            </w:pPr>
            <w:r w:rsidRPr="002F3A88">
              <w:rPr>
                <w:noProof/>
                <w:lang w:val="fr-CA"/>
              </w:rPr>
              <w:t>2.2.1</w:t>
            </w:r>
          </w:p>
          <w:p w14:paraId="1A8B94AE" w14:textId="6778F625" w:rsidR="00D5692D" w:rsidRPr="002F3A88" w:rsidRDefault="00D5692D" w:rsidP="003A22A1">
            <w:pPr>
              <w:pStyle w:val="Heading1"/>
              <w:rPr>
                <w:noProof/>
                <w:lang w:val="fr-CA"/>
              </w:rPr>
            </w:pPr>
          </w:p>
        </w:tc>
        <w:tc>
          <w:tcPr>
            <w:tcW w:w="2835" w:type="dxa"/>
            <w:tcBorders>
              <w:top w:val="single" w:sz="4" w:space="0" w:color="7C2855"/>
              <w:right w:val="single" w:sz="4" w:space="0" w:color="7C2855"/>
            </w:tcBorders>
            <w:shd w:val="clear" w:color="auto" w:fill="DFE0DE"/>
          </w:tcPr>
          <w:p w14:paraId="790D25C9" w14:textId="77777777" w:rsidR="00D5692D" w:rsidRPr="002F3A88" w:rsidRDefault="0098596D" w:rsidP="00A9489B">
            <w:pPr>
              <w:rPr>
                <w:noProof/>
                <w:lang w:val="fr-CA"/>
              </w:rPr>
            </w:pPr>
            <w:r w:rsidRPr="002F3A88">
              <w:rPr>
                <w:noProof/>
                <w:lang w:val="fr-CA"/>
              </w:rPr>
              <w:t>Des pratiques fondées sur les données probantes sont mises en œuvre.</w:t>
            </w:r>
          </w:p>
          <w:p w14:paraId="77D386CA" w14:textId="5F2A690E" w:rsidR="00D5692D" w:rsidRPr="002F3A88" w:rsidRDefault="00D5692D" w:rsidP="00A9489B">
            <w:pPr>
              <w:rPr>
                <w:noProof/>
                <w:lang w:val="fr-CA"/>
              </w:rPr>
            </w:pPr>
          </w:p>
        </w:tc>
        <w:tc>
          <w:tcPr>
            <w:tcW w:w="2835" w:type="dxa"/>
            <w:tcBorders>
              <w:top w:val="single" w:sz="4" w:space="0" w:color="7C2855"/>
              <w:left w:val="single" w:sz="4" w:space="0" w:color="7C2855"/>
            </w:tcBorders>
            <w:shd w:val="clear" w:color="auto" w:fill="F2F2F2" w:themeFill="background1" w:themeFillShade="F2"/>
          </w:tcPr>
          <w:p w14:paraId="08E6DA57" w14:textId="77777777" w:rsidR="00D5692D" w:rsidRPr="002F3A88" w:rsidRDefault="00D5692D" w:rsidP="002A163F">
            <w:pPr>
              <w:rPr>
                <w:noProof/>
                <w:lang w:val="fr-CA"/>
              </w:rPr>
            </w:pPr>
          </w:p>
        </w:tc>
      </w:tr>
      <w:tr w:rsidR="00D5692D" w:rsidRPr="00167B0E" w14:paraId="40EC1949" w14:textId="77777777" w:rsidTr="3C70B039">
        <w:trPr>
          <w:cantSplit/>
          <w:tblHeader/>
        </w:trPr>
        <w:tc>
          <w:tcPr>
            <w:tcW w:w="3768" w:type="dxa"/>
            <w:vMerge/>
          </w:tcPr>
          <w:p w14:paraId="53A06AD8" w14:textId="77777777" w:rsidR="00D5692D" w:rsidRPr="002F3A88" w:rsidRDefault="00D5692D" w:rsidP="00A9489B">
            <w:pPr>
              <w:rPr>
                <w:noProof/>
                <w:lang w:val="fr-CA"/>
              </w:rPr>
            </w:pPr>
          </w:p>
        </w:tc>
        <w:tc>
          <w:tcPr>
            <w:tcW w:w="565" w:type="dxa"/>
            <w:vMerge/>
          </w:tcPr>
          <w:p w14:paraId="4C2FCD6A" w14:textId="77777777" w:rsidR="00D5692D" w:rsidRPr="002F3A88" w:rsidRDefault="00D5692D" w:rsidP="00A9489B">
            <w:pPr>
              <w:rPr>
                <w:noProof/>
                <w:lang w:val="fr-CA"/>
              </w:rPr>
            </w:pPr>
          </w:p>
        </w:tc>
        <w:tc>
          <w:tcPr>
            <w:tcW w:w="2825" w:type="dxa"/>
            <w:vMerge/>
          </w:tcPr>
          <w:p w14:paraId="60E83964" w14:textId="77777777" w:rsidR="00D5692D" w:rsidRPr="002F3A88" w:rsidRDefault="00D5692D" w:rsidP="00D46623">
            <w:pPr>
              <w:pStyle w:val="TableCopy-8ptFramework-Styles"/>
              <w:rPr>
                <w:rFonts w:asciiTheme="minorHAnsi" w:hAnsiTheme="minorHAnsi" w:cstheme="minorHAnsi"/>
                <w:noProof/>
                <w:lang w:val="fr-CA"/>
              </w:rPr>
            </w:pPr>
          </w:p>
        </w:tc>
        <w:tc>
          <w:tcPr>
            <w:tcW w:w="622" w:type="dxa"/>
            <w:tcBorders>
              <w:left w:val="single" w:sz="4" w:space="0" w:color="7C2855"/>
              <w:bottom w:val="single" w:sz="4" w:space="0" w:color="7C2855"/>
            </w:tcBorders>
            <w:shd w:val="clear" w:color="auto" w:fill="DFE0DE"/>
          </w:tcPr>
          <w:p w14:paraId="47EEA205" w14:textId="2687E872" w:rsidR="00D5692D" w:rsidRPr="002F3A88" w:rsidRDefault="00D5692D" w:rsidP="003A22A1">
            <w:pPr>
              <w:pStyle w:val="Heading1"/>
              <w:rPr>
                <w:noProof/>
                <w:lang w:val="fr-CA"/>
              </w:rPr>
            </w:pPr>
            <w:r w:rsidRPr="002F3A88">
              <w:rPr>
                <w:noProof/>
                <w:lang w:val="fr-CA"/>
              </w:rPr>
              <w:t>2.2.2</w:t>
            </w:r>
          </w:p>
        </w:tc>
        <w:tc>
          <w:tcPr>
            <w:tcW w:w="2835" w:type="dxa"/>
            <w:tcBorders>
              <w:bottom w:val="single" w:sz="4" w:space="0" w:color="7C2855"/>
              <w:right w:val="single" w:sz="4" w:space="0" w:color="7C2855"/>
            </w:tcBorders>
            <w:shd w:val="clear" w:color="auto" w:fill="DFE0DE"/>
          </w:tcPr>
          <w:p w14:paraId="7D17ABAF" w14:textId="77777777" w:rsidR="00D5692D" w:rsidRPr="002F3A88" w:rsidRDefault="0098596D" w:rsidP="00D46623">
            <w:pPr>
              <w:pStyle w:val="TableCopy-8ptFramework-Styles"/>
              <w:rPr>
                <w:rFonts w:asciiTheme="minorHAnsi" w:hAnsiTheme="minorHAnsi" w:cstheme="minorHAnsi"/>
                <w:noProof/>
                <w:lang w:val="fr-CA"/>
              </w:rPr>
            </w:pPr>
            <w:r w:rsidRPr="002F3A88">
              <w:rPr>
                <w:rFonts w:asciiTheme="minorHAnsi" w:hAnsiTheme="minorHAnsi" w:cstheme="minorHAnsi"/>
                <w:noProof/>
                <w:lang w:val="fr-CA"/>
              </w:rPr>
              <w:t>Les pratiques des prestataires sont évaluées et les tendances des résultats sont signalées pour stimuler de façon proactive des pratiques sécuritaires.</w:t>
            </w:r>
          </w:p>
          <w:p w14:paraId="28CA7ADA" w14:textId="766ADFC6" w:rsidR="00D5692D" w:rsidRPr="002F3A88" w:rsidRDefault="00D5692D" w:rsidP="00D46623">
            <w:pPr>
              <w:pStyle w:val="TableCopy-8ptFramework-Styles"/>
              <w:rPr>
                <w:rFonts w:asciiTheme="minorHAnsi" w:hAnsiTheme="minorHAnsi" w:cstheme="minorHAnsi"/>
                <w:noProof/>
                <w:lang w:val="fr-CA"/>
              </w:rPr>
            </w:pPr>
          </w:p>
        </w:tc>
        <w:tc>
          <w:tcPr>
            <w:tcW w:w="2835" w:type="dxa"/>
            <w:tcBorders>
              <w:left w:val="single" w:sz="4" w:space="0" w:color="7C2855"/>
              <w:bottom w:val="single" w:sz="4" w:space="0" w:color="7C2855"/>
            </w:tcBorders>
            <w:shd w:val="clear" w:color="auto" w:fill="F2F2F2" w:themeFill="background1" w:themeFillShade="F2"/>
          </w:tcPr>
          <w:p w14:paraId="7AD7B949" w14:textId="77777777" w:rsidR="00D5692D" w:rsidRPr="002F3A88" w:rsidRDefault="00D5692D" w:rsidP="002A163F">
            <w:pPr>
              <w:rPr>
                <w:noProof/>
                <w:lang w:val="fr-CA"/>
              </w:rPr>
            </w:pPr>
          </w:p>
        </w:tc>
      </w:tr>
      <w:tr w:rsidR="00043D55" w:rsidRPr="00167B0E" w14:paraId="3011C7A1" w14:textId="77777777" w:rsidTr="003A22A1">
        <w:trPr>
          <w:cantSplit/>
          <w:tblHeader/>
        </w:trPr>
        <w:tc>
          <w:tcPr>
            <w:tcW w:w="3768" w:type="dxa"/>
            <w:vMerge/>
          </w:tcPr>
          <w:p w14:paraId="553DE63C" w14:textId="77777777" w:rsidR="00043D55" w:rsidRPr="002F3A88" w:rsidRDefault="00043D55" w:rsidP="00A9489B">
            <w:pPr>
              <w:rPr>
                <w:noProof/>
                <w:lang w:val="fr-CA"/>
              </w:rPr>
            </w:pPr>
          </w:p>
        </w:tc>
        <w:tc>
          <w:tcPr>
            <w:tcW w:w="565" w:type="dxa"/>
            <w:vMerge w:val="restart"/>
            <w:tcBorders>
              <w:top w:val="single" w:sz="4" w:space="0" w:color="7C2855"/>
            </w:tcBorders>
            <w:shd w:val="clear" w:color="auto" w:fill="DFE0DE"/>
          </w:tcPr>
          <w:p w14:paraId="42B66CFB" w14:textId="2B1523AA" w:rsidR="00043D55" w:rsidRPr="002F3A88" w:rsidRDefault="00043D55" w:rsidP="001A5BA0">
            <w:pPr>
              <w:pStyle w:val="Heading-RowA"/>
            </w:pPr>
            <w:r w:rsidRPr="002F3A88">
              <w:t>2.3</w:t>
            </w:r>
            <w:r w:rsidRPr="002F3A88">
              <w:rPr>
                <w:sz w:val="16"/>
                <w:szCs w:val="16"/>
              </w:rPr>
              <w:t xml:space="preserve"> </w:t>
            </w:r>
          </w:p>
        </w:tc>
        <w:tc>
          <w:tcPr>
            <w:tcW w:w="2825" w:type="dxa"/>
            <w:vMerge w:val="restart"/>
            <w:tcBorders>
              <w:top w:val="single" w:sz="4" w:space="0" w:color="7C2855"/>
              <w:right w:val="single" w:sz="4" w:space="0" w:color="7C2855"/>
            </w:tcBorders>
            <w:shd w:val="clear" w:color="auto" w:fill="DFE0DE"/>
          </w:tcPr>
          <w:p w14:paraId="2FB8AC65" w14:textId="77777777" w:rsidR="009106B2" w:rsidRPr="001A5BA0" w:rsidRDefault="009106B2" w:rsidP="001A5BA0">
            <w:pPr>
              <w:pStyle w:val="Heading-RowA"/>
              <w:spacing w:line="240" w:lineRule="auto"/>
              <w:ind w:left="0" w:firstLine="0"/>
              <w:rPr>
                <w:b w:val="0"/>
                <w:bCs/>
                <w:color w:val="404041"/>
              </w:rPr>
            </w:pPr>
            <w:r w:rsidRPr="001A5BA0">
              <w:rPr>
                <w:b w:val="0"/>
                <w:bCs/>
                <w:color w:val="404041"/>
              </w:rPr>
              <w:t>La sécurité des soins est traitée comme un enjeu de santé publique.</w:t>
            </w:r>
          </w:p>
          <w:p w14:paraId="6B7FA336" w14:textId="5ABA6A5E" w:rsidR="00043D55" w:rsidRPr="002F3A88" w:rsidRDefault="009106B2" w:rsidP="001A5BA0">
            <w:pPr>
              <w:pStyle w:val="Heading-RowA"/>
              <w:spacing w:line="240" w:lineRule="auto"/>
              <w:ind w:left="0" w:firstLine="0"/>
            </w:pPr>
            <w:r w:rsidRPr="001A5BA0">
              <w:rPr>
                <w:b w:val="0"/>
                <w:bCs/>
                <w:color w:val="D41B5A"/>
              </w:rPr>
              <w:t>Indicateur : Le taux de préjudices subis par des patients et de réadmissions à l’hôpital évitables sont divulgués publiquement</w:t>
            </w:r>
          </w:p>
        </w:tc>
        <w:tc>
          <w:tcPr>
            <w:tcW w:w="622" w:type="dxa"/>
            <w:tcBorders>
              <w:top w:val="single" w:sz="4" w:space="0" w:color="7C2855"/>
              <w:left w:val="single" w:sz="4" w:space="0" w:color="7C2855"/>
              <w:bottom w:val="single" w:sz="4" w:space="0" w:color="7C2855"/>
            </w:tcBorders>
            <w:shd w:val="clear" w:color="auto" w:fill="DFE0DE"/>
          </w:tcPr>
          <w:p w14:paraId="1AA53A24" w14:textId="404E0F71" w:rsidR="00043D55" w:rsidRPr="002F3A88" w:rsidRDefault="00043D55" w:rsidP="003A22A1">
            <w:pPr>
              <w:pStyle w:val="Heading1"/>
              <w:rPr>
                <w:noProof/>
                <w:lang w:val="fr-CA"/>
              </w:rPr>
            </w:pPr>
            <w:r w:rsidRPr="002F3A88">
              <w:rPr>
                <w:noProof/>
                <w:lang w:val="fr-CA"/>
              </w:rPr>
              <w:t>2.3.1</w:t>
            </w:r>
          </w:p>
        </w:tc>
        <w:tc>
          <w:tcPr>
            <w:tcW w:w="2835" w:type="dxa"/>
            <w:tcBorders>
              <w:top w:val="single" w:sz="4" w:space="0" w:color="7C2855"/>
              <w:bottom w:val="single" w:sz="4" w:space="0" w:color="7C2855"/>
              <w:right w:val="single" w:sz="4" w:space="0" w:color="7C2855"/>
            </w:tcBorders>
            <w:shd w:val="clear" w:color="auto" w:fill="DFE0DE"/>
          </w:tcPr>
          <w:p w14:paraId="44D2F579" w14:textId="77777777" w:rsidR="00043D55" w:rsidRPr="002F3A88" w:rsidRDefault="009106B2" w:rsidP="00A9489B">
            <w:pPr>
              <w:rPr>
                <w:noProof/>
                <w:lang w:val="fr-CA"/>
              </w:rPr>
            </w:pPr>
            <w:r w:rsidRPr="002F3A88">
              <w:rPr>
                <w:noProof/>
                <w:lang w:val="fr-CA"/>
              </w:rPr>
              <w:t xml:space="preserve">Les établissements de services de santé participent activement à un processus d’agrément. </w:t>
            </w:r>
          </w:p>
          <w:p w14:paraId="4FB443BB" w14:textId="7DEE94E4" w:rsidR="00043D55" w:rsidRPr="002F3A88" w:rsidRDefault="00043D55" w:rsidP="00A9489B">
            <w:pPr>
              <w:rPr>
                <w:noProof/>
                <w:lang w:val="fr-CA"/>
              </w:rPr>
            </w:pP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51972FCE" w14:textId="77777777" w:rsidR="00043D55" w:rsidRPr="002F3A88" w:rsidRDefault="00043D55" w:rsidP="002A163F">
            <w:pPr>
              <w:rPr>
                <w:noProof/>
                <w:lang w:val="fr-CA"/>
              </w:rPr>
            </w:pPr>
          </w:p>
        </w:tc>
      </w:tr>
      <w:tr w:rsidR="00043D55" w:rsidRPr="00167B0E" w14:paraId="65A66480" w14:textId="77777777" w:rsidTr="003A22A1">
        <w:trPr>
          <w:cantSplit/>
          <w:tblHeader/>
        </w:trPr>
        <w:tc>
          <w:tcPr>
            <w:tcW w:w="3768" w:type="dxa"/>
            <w:vMerge/>
          </w:tcPr>
          <w:p w14:paraId="112F8E8F" w14:textId="77777777" w:rsidR="00043D55" w:rsidRPr="002F3A88" w:rsidRDefault="00043D55" w:rsidP="00A9489B">
            <w:pPr>
              <w:rPr>
                <w:noProof/>
                <w:lang w:val="fr-CA"/>
              </w:rPr>
            </w:pPr>
          </w:p>
        </w:tc>
        <w:tc>
          <w:tcPr>
            <w:tcW w:w="565" w:type="dxa"/>
            <w:vMerge/>
          </w:tcPr>
          <w:p w14:paraId="687CCD60" w14:textId="77777777" w:rsidR="00043D55" w:rsidRPr="002F3A88" w:rsidRDefault="00043D55" w:rsidP="00A9489B">
            <w:pPr>
              <w:rPr>
                <w:noProof/>
                <w:lang w:val="fr-CA"/>
              </w:rPr>
            </w:pPr>
          </w:p>
        </w:tc>
        <w:tc>
          <w:tcPr>
            <w:tcW w:w="2825" w:type="dxa"/>
            <w:vMerge/>
          </w:tcPr>
          <w:p w14:paraId="16DFDC61" w14:textId="77777777" w:rsidR="00043D55" w:rsidRPr="002F3A88" w:rsidRDefault="00043D55" w:rsidP="00D46623">
            <w:pPr>
              <w:pStyle w:val="TableCopy-8ptFramework-Styles"/>
              <w:rPr>
                <w:rFonts w:asciiTheme="minorHAnsi" w:hAnsiTheme="minorHAnsi" w:cstheme="minorHAnsi"/>
                <w:noProof/>
                <w:lang w:val="fr-CA"/>
              </w:rPr>
            </w:pPr>
          </w:p>
        </w:tc>
        <w:tc>
          <w:tcPr>
            <w:tcW w:w="622" w:type="dxa"/>
            <w:tcBorders>
              <w:top w:val="single" w:sz="4" w:space="0" w:color="7C2855"/>
              <w:left w:val="single" w:sz="4" w:space="0" w:color="7C2855"/>
            </w:tcBorders>
            <w:shd w:val="clear" w:color="auto" w:fill="DFE0DE"/>
          </w:tcPr>
          <w:p w14:paraId="25163C6C" w14:textId="24D7E8C0" w:rsidR="00043D55" w:rsidRPr="002F3A88" w:rsidRDefault="00043D55" w:rsidP="003A22A1">
            <w:pPr>
              <w:pStyle w:val="Heading1"/>
              <w:rPr>
                <w:noProof/>
                <w:lang w:val="fr-CA"/>
              </w:rPr>
            </w:pPr>
            <w:r w:rsidRPr="002F3A88">
              <w:rPr>
                <w:noProof/>
                <w:lang w:val="fr-CA"/>
              </w:rPr>
              <w:t>2.3.2</w:t>
            </w:r>
          </w:p>
        </w:tc>
        <w:tc>
          <w:tcPr>
            <w:tcW w:w="2835" w:type="dxa"/>
            <w:tcBorders>
              <w:top w:val="single" w:sz="4" w:space="0" w:color="7C2855"/>
              <w:right w:val="single" w:sz="4" w:space="0" w:color="7C2855"/>
            </w:tcBorders>
            <w:shd w:val="clear" w:color="auto" w:fill="DFE0DE"/>
          </w:tcPr>
          <w:p w14:paraId="2E499FD1" w14:textId="77777777" w:rsidR="00043D55" w:rsidRPr="002F3A88" w:rsidRDefault="00BA7EB6" w:rsidP="00A9489B">
            <w:pPr>
              <w:rPr>
                <w:noProof/>
                <w:lang w:val="fr-CA"/>
              </w:rPr>
            </w:pPr>
            <w:r w:rsidRPr="002F3A88">
              <w:rPr>
                <w:noProof/>
                <w:lang w:val="fr-CA"/>
              </w:rPr>
              <w:t>Le taux de préjudices subis par des patients et d’autres indicateurs qui reflètent la sécurité organisationnelle sont divulgués publiquement.</w:t>
            </w:r>
          </w:p>
          <w:p w14:paraId="6118C423" w14:textId="395FE10E" w:rsidR="00043D55" w:rsidRPr="002F3A88" w:rsidRDefault="00043D55" w:rsidP="00A9489B">
            <w:pPr>
              <w:rPr>
                <w:noProof/>
                <w:lang w:val="fr-CA"/>
              </w:rPr>
            </w:pPr>
          </w:p>
        </w:tc>
        <w:tc>
          <w:tcPr>
            <w:tcW w:w="2835" w:type="dxa"/>
            <w:tcBorders>
              <w:top w:val="single" w:sz="4" w:space="0" w:color="7C2855"/>
              <w:left w:val="single" w:sz="4" w:space="0" w:color="7C2855"/>
            </w:tcBorders>
            <w:shd w:val="clear" w:color="auto" w:fill="F2F2F2" w:themeFill="background1" w:themeFillShade="F2"/>
          </w:tcPr>
          <w:p w14:paraId="0E2968CE" w14:textId="77777777" w:rsidR="00043D55" w:rsidRPr="002F3A88" w:rsidRDefault="00043D55" w:rsidP="002A163F">
            <w:pPr>
              <w:rPr>
                <w:noProof/>
                <w:lang w:val="fr-CA"/>
              </w:rPr>
            </w:pPr>
          </w:p>
        </w:tc>
      </w:tr>
    </w:tbl>
    <w:p w14:paraId="695F8072" w14:textId="77777777" w:rsidR="00D46623" w:rsidRPr="002F3A88" w:rsidRDefault="00D46623" w:rsidP="00A9489B">
      <w:pPr>
        <w:rPr>
          <w:noProof/>
          <w:lang w:val="fr-CA"/>
        </w:rPr>
      </w:pPr>
      <w:r w:rsidRPr="002F3A88">
        <w:rPr>
          <w:noProof/>
          <w:lang w:val="fr-CA"/>
        </w:rPr>
        <w:br w:type="page"/>
      </w:r>
    </w:p>
    <w:p w14:paraId="6F7584BF" w14:textId="60C1A8E2" w:rsidR="00260E91" w:rsidRPr="002F3A88" w:rsidRDefault="00260E91" w:rsidP="00A9489B">
      <w:pPr>
        <w:rPr>
          <w:noProof/>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567"/>
        <w:gridCol w:w="2835"/>
        <w:gridCol w:w="639"/>
        <w:gridCol w:w="2835"/>
        <w:gridCol w:w="2835"/>
      </w:tblGrid>
      <w:tr w:rsidR="00F84046" w:rsidRPr="002F3A88" w14:paraId="74DE6F8F" w14:textId="77777777" w:rsidTr="00325C07">
        <w:trPr>
          <w:cantSplit/>
          <w:tblHeader/>
        </w:trPr>
        <w:tc>
          <w:tcPr>
            <w:tcW w:w="3792" w:type="dxa"/>
          </w:tcPr>
          <w:p w14:paraId="36EC09BF" w14:textId="19061271" w:rsidR="00D46623" w:rsidRPr="002F3A88" w:rsidRDefault="00325C07" w:rsidP="00A9489B">
            <w:pPr>
              <w:rPr>
                <w:noProof/>
                <w:lang w:val="fr-CA"/>
              </w:rPr>
            </w:pPr>
            <w:r w:rsidRPr="002F3A88">
              <w:rPr>
                <w:noProof/>
                <w:lang w:val="fr-CA"/>
              </w:rPr>
              <w:drawing>
                <wp:anchor distT="0" distB="0" distL="114300" distR="114300" simplePos="0" relativeHeight="251658241" behindDoc="0" locked="0" layoutInCell="1" allowOverlap="1" wp14:anchorId="2179AE0C" wp14:editId="7FB3EE03">
                  <wp:simplePos x="0" y="0"/>
                  <wp:positionH relativeFrom="column">
                    <wp:posOffset>73347</wp:posOffset>
                  </wp:positionH>
                  <wp:positionV relativeFrom="paragraph">
                    <wp:posOffset>394863</wp:posOffset>
                  </wp:positionV>
                  <wp:extent cx="2270760" cy="272491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0760" cy="2724912"/>
                          </a:xfrm>
                          <a:prstGeom prst="rect">
                            <a:avLst/>
                          </a:prstGeom>
                        </pic:spPr>
                      </pic:pic>
                    </a:graphicData>
                  </a:graphic>
                </wp:anchor>
              </w:drawing>
            </w:r>
          </w:p>
        </w:tc>
        <w:tc>
          <w:tcPr>
            <w:tcW w:w="567" w:type="dxa"/>
            <w:tcBorders>
              <w:bottom w:val="single" w:sz="18" w:space="0" w:color="7C2855"/>
            </w:tcBorders>
          </w:tcPr>
          <w:p w14:paraId="183EA5E1" w14:textId="77777777" w:rsidR="00D46623" w:rsidRPr="002F3A88" w:rsidRDefault="00D46623" w:rsidP="00A9489B">
            <w:pPr>
              <w:rPr>
                <w:noProof/>
                <w:lang w:val="fr-CA"/>
              </w:rPr>
            </w:pPr>
          </w:p>
        </w:tc>
        <w:tc>
          <w:tcPr>
            <w:tcW w:w="2835" w:type="dxa"/>
            <w:tcBorders>
              <w:bottom w:val="single" w:sz="18" w:space="0" w:color="7C2855"/>
            </w:tcBorders>
          </w:tcPr>
          <w:p w14:paraId="366E5E3D" w14:textId="4B95AF7C" w:rsidR="00D46623" w:rsidRPr="002F3A88" w:rsidRDefault="00325C07" w:rsidP="00023EE3">
            <w:pPr>
              <w:pStyle w:val="Heading-ColumnA"/>
            </w:pPr>
            <w:r w:rsidRPr="002F3A88">
              <w:t>Buts</w:t>
            </w:r>
          </w:p>
        </w:tc>
        <w:tc>
          <w:tcPr>
            <w:tcW w:w="639" w:type="dxa"/>
            <w:tcBorders>
              <w:bottom w:val="single" w:sz="18" w:space="0" w:color="7C2855"/>
            </w:tcBorders>
          </w:tcPr>
          <w:p w14:paraId="43221829" w14:textId="77777777" w:rsidR="00D46623" w:rsidRPr="002F3A88" w:rsidRDefault="00D46623" w:rsidP="00A9489B">
            <w:pPr>
              <w:pStyle w:val="Heading2"/>
              <w:rPr>
                <w:rFonts w:asciiTheme="minorHAnsi" w:hAnsiTheme="minorHAnsi" w:cstheme="minorHAnsi"/>
                <w:b/>
                <w:bCs/>
                <w:noProof/>
                <w:lang w:val="fr-CA"/>
              </w:rPr>
            </w:pPr>
          </w:p>
        </w:tc>
        <w:tc>
          <w:tcPr>
            <w:tcW w:w="2835" w:type="dxa"/>
            <w:tcBorders>
              <w:bottom w:val="single" w:sz="18" w:space="0" w:color="7C2855"/>
            </w:tcBorders>
          </w:tcPr>
          <w:p w14:paraId="0E05BA1C" w14:textId="0CC6A635" w:rsidR="00D46623" w:rsidRPr="002F3A88" w:rsidRDefault="00325C07" w:rsidP="00023EE3">
            <w:pPr>
              <w:pStyle w:val="Heading-ColumnA"/>
            </w:pPr>
            <w:r w:rsidRPr="002F3A88">
              <w:t>Résultat</w:t>
            </w:r>
          </w:p>
        </w:tc>
        <w:tc>
          <w:tcPr>
            <w:tcW w:w="2835" w:type="dxa"/>
            <w:tcBorders>
              <w:bottom w:val="single" w:sz="18" w:space="0" w:color="7C2855"/>
            </w:tcBorders>
          </w:tcPr>
          <w:p w14:paraId="0CC17627" w14:textId="4F1864BB" w:rsidR="00D46623" w:rsidRPr="002F3A88" w:rsidRDefault="00D84E53" w:rsidP="00023EE3">
            <w:pPr>
              <w:pStyle w:val="Heading-ColumnA"/>
            </w:pPr>
            <w:r w:rsidRPr="00BA78A3">
              <w:t>Vos</w:t>
            </w:r>
            <w:r w:rsidR="00655A5E" w:rsidRPr="00BA78A3">
              <w:t xml:space="preserve"> </w:t>
            </w:r>
            <w:r w:rsidRPr="00BA78A3">
              <w:t>i</w:t>
            </w:r>
            <w:r w:rsidR="00D46623" w:rsidRPr="00BA78A3">
              <w:t>nitiatives</w:t>
            </w:r>
          </w:p>
        </w:tc>
      </w:tr>
      <w:tr w:rsidR="00527CC9" w:rsidRPr="00167B0E" w14:paraId="210BB305" w14:textId="77777777" w:rsidTr="00325C07">
        <w:trPr>
          <w:cantSplit/>
          <w:tblHeader/>
        </w:trPr>
        <w:tc>
          <w:tcPr>
            <w:tcW w:w="3792" w:type="dxa"/>
            <w:vMerge w:val="restart"/>
          </w:tcPr>
          <w:p w14:paraId="146AC666" w14:textId="1386C525" w:rsidR="00527CC9" w:rsidRPr="002F3A88" w:rsidRDefault="00B56402" w:rsidP="00A9489B">
            <w:pPr>
              <w:rPr>
                <w:noProof/>
                <w:lang w:val="fr-CA"/>
              </w:rPr>
            </w:pPr>
            <w:r>
              <w:rPr>
                <w:noProof/>
                <w:lang w:val="fr-CA"/>
              </w:rPr>
              <mc:AlternateContent>
                <mc:Choice Requires="wps">
                  <w:drawing>
                    <wp:inline distT="0" distB="0" distL="0" distR="0" wp14:anchorId="3445C9B3" wp14:editId="6F3B5DE9">
                      <wp:extent cx="45719" cy="77638"/>
                      <wp:effectExtent l="57150" t="0" r="69215" b="0"/>
                      <wp:docPr id="1136761692" name="Rectangle 7" descr="Image mettant en évidence l’Objectif 3 – Soins accessibles, que les gens ont un accès ponctuel et équitable à des services de santé de qualité."/>
                      <wp:cNvGraphicFramePr/>
                      <a:graphic xmlns:a="http://schemas.openxmlformats.org/drawingml/2006/main">
                        <a:graphicData uri="http://schemas.microsoft.com/office/word/2010/wordprocessingShape">
                          <wps:wsp>
                            <wps:cNvSpPr/>
                            <wps:spPr>
                              <a:xfrm>
                                <a:off x="0" y="0"/>
                                <a:ext cx="45719" cy="77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8F7A9B" id="Rectangle 7" o:spid="_x0000_s1026" alt="Image mettant en évidence l’Objectif 3 – Soins accessibles, que les gens ont un accès ponctuel et équitable à des services de santé de qualité." style="width:3.6pt;height: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" filled="f" stroked="f" strokeweight="1pt">
                      <w10:anchorlock/>
                    </v:rect>
                  </w:pict>
                </mc:Fallback>
              </mc:AlternateContent>
            </w:r>
          </w:p>
        </w:tc>
        <w:tc>
          <w:tcPr>
            <w:tcW w:w="567" w:type="dxa"/>
            <w:vMerge w:val="restart"/>
            <w:tcBorders>
              <w:top w:val="single" w:sz="18" w:space="0" w:color="7C2855"/>
            </w:tcBorders>
            <w:shd w:val="clear" w:color="auto" w:fill="DFE0DE"/>
          </w:tcPr>
          <w:p w14:paraId="5F49FDDC" w14:textId="5D102A8A" w:rsidR="00527CC9" w:rsidRPr="002F3A88" w:rsidRDefault="00527CC9" w:rsidP="00C52BA9">
            <w:pPr>
              <w:pStyle w:val="Heading-RowA"/>
              <w:spacing w:line="240" w:lineRule="auto"/>
            </w:pPr>
            <w:r w:rsidRPr="002F3A88">
              <w:t>3.1</w:t>
            </w:r>
          </w:p>
        </w:tc>
        <w:tc>
          <w:tcPr>
            <w:tcW w:w="2835" w:type="dxa"/>
            <w:vMerge w:val="restart"/>
            <w:tcBorders>
              <w:top w:val="single" w:sz="18" w:space="0" w:color="7C2855"/>
              <w:right w:val="single" w:sz="4" w:space="0" w:color="7C2855"/>
            </w:tcBorders>
            <w:shd w:val="clear" w:color="auto" w:fill="DFE0DE"/>
          </w:tcPr>
          <w:p w14:paraId="2582AC54" w14:textId="77777777" w:rsidR="00031A1B" w:rsidRPr="00C52BA9" w:rsidRDefault="00031A1B" w:rsidP="00C52BA9">
            <w:pPr>
              <w:pStyle w:val="Heading-RowA"/>
              <w:spacing w:line="240" w:lineRule="auto"/>
              <w:ind w:left="0" w:firstLine="0"/>
              <w:rPr>
                <w:b w:val="0"/>
                <w:bCs/>
                <w:color w:val="404041"/>
              </w:rPr>
            </w:pPr>
            <w:r w:rsidRPr="00C52BA9">
              <w:rPr>
                <w:b w:val="0"/>
                <w:bCs/>
                <w:color w:val="404041"/>
              </w:rPr>
              <w:t>Les soins, les tests diagnostiques et les services sont accessibles à tous de façon équitable et ponctuelle.</w:t>
            </w:r>
          </w:p>
          <w:p w14:paraId="2119DBB9" w14:textId="77777777" w:rsidR="00031A1B" w:rsidRPr="00C52BA9" w:rsidRDefault="00031A1B" w:rsidP="00C52BA9">
            <w:pPr>
              <w:pStyle w:val="Heading-RowA"/>
              <w:spacing w:line="240" w:lineRule="auto"/>
              <w:ind w:left="0" w:firstLine="0"/>
              <w:rPr>
                <w:b w:val="0"/>
                <w:bCs/>
                <w:color w:val="D41B5A"/>
              </w:rPr>
            </w:pPr>
            <w:r w:rsidRPr="00C52BA9">
              <w:rPr>
                <w:b w:val="0"/>
                <w:bCs/>
                <w:color w:val="D41B5A"/>
              </w:rPr>
              <w:t>Indicateur : Temps d’attente pour obtenir des soins, des traitements et des procédures sélectionnés localement, analysés en fonction de variables sociodémographiques, géographiques ou d’indices de privation</w:t>
            </w:r>
          </w:p>
          <w:p w14:paraId="72D9E491" w14:textId="780F0D70" w:rsidR="00527CC9" w:rsidRPr="002F3A88" w:rsidRDefault="00031A1B" w:rsidP="00C52BA9">
            <w:pPr>
              <w:pStyle w:val="Heading-RowA"/>
              <w:spacing w:line="240" w:lineRule="auto"/>
              <w:ind w:left="0" w:firstLine="0"/>
            </w:pPr>
            <w:r w:rsidRPr="00C52BA9">
              <w:rPr>
                <w:b w:val="0"/>
                <w:bCs/>
                <w:color w:val="D41B5A"/>
              </w:rPr>
              <w:t>Indicateur : Taux d’accès à un prestataire de soins primaires, analysé en fonction de variables sociodémographiques, géographiques ou d’indices de privation</w:t>
            </w:r>
          </w:p>
        </w:tc>
        <w:tc>
          <w:tcPr>
            <w:tcW w:w="639" w:type="dxa"/>
            <w:tcBorders>
              <w:top w:val="single" w:sz="18" w:space="0" w:color="7C2855"/>
              <w:left w:val="single" w:sz="4" w:space="0" w:color="7C2855"/>
              <w:bottom w:val="single" w:sz="4" w:space="0" w:color="7C2855"/>
            </w:tcBorders>
            <w:shd w:val="clear" w:color="auto" w:fill="DFE0DE"/>
          </w:tcPr>
          <w:p w14:paraId="2C228D15" w14:textId="342E88C1" w:rsidR="00527CC9" w:rsidRPr="002F3A88" w:rsidRDefault="00527CC9" w:rsidP="003A22A1">
            <w:pPr>
              <w:pStyle w:val="Heading1"/>
              <w:rPr>
                <w:noProof/>
                <w:lang w:val="fr-CA"/>
              </w:rPr>
            </w:pPr>
            <w:r w:rsidRPr="002F3A88">
              <w:rPr>
                <w:noProof/>
                <w:lang w:val="fr-CA"/>
              </w:rPr>
              <w:t>3.1.1</w:t>
            </w:r>
          </w:p>
        </w:tc>
        <w:tc>
          <w:tcPr>
            <w:tcW w:w="2835" w:type="dxa"/>
            <w:tcBorders>
              <w:top w:val="single" w:sz="18" w:space="0" w:color="7C2855"/>
              <w:bottom w:val="single" w:sz="4" w:space="0" w:color="7C2855"/>
              <w:right w:val="single" w:sz="4" w:space="0" w:color="7C2855"/>
            </w:tcBorders>
            <w:shd w:val="clear" w:color="auto" w:fill="DFE0DE"/>
          </w:tcPr>
          <w:p w14:paraId="448B2297" w14:textId="71A54F39" w:rsidR="00527CC9" w:rsidRPr="002F3A88" w:rsidRDefault="00031A1B" w:rsidP="00A9489B">
            <w:pPr>
              <w:rPr>
                <w:noProof/>
                <w:lang w:val="fr-CA"/>
              </w:rPr>
            </w:pPr>
            <w:r w:rsidRPr="002F3A88">
              <w:rPr>
                <w:noProof/>
                <w:lang w:val="fr-CA"/>
              </w:rPr>
              <w:t>Des groupes divers de personnes, comme les Premières nations, les Inuits, les Métis, les Noirs, LGBTQ2S+, les immigrants et les habitants de collectivités rurales et éloignées reçoivent des soins sécuritaires, équitables et ponctuels.</w:t>
            </w:r>
            <w:r w:rsidR="00C44FF7" w:rsidRPr="002F3A88">
              <w:rPr>
                <w:noProof/>
                <w:lang w:val="fr-CA"/>
              </w:rPr>
              <w:br/>
            </w:r>
          </w:p>
        </w:tc>
        <w:tc>
          <w:tcPr>
            <w:tcW w:w="2835" w:type="dxa"/>
            <w:tcBorders>
              <w:top w:val="single" w:sz="18" w:space="0" w:color="7C2855"/>
              <w:left w:val="single" w:sz="4" w:space="0" w:color="7C2855"/>
              <w:bottom w:val="single" w:sz="4" w:space="0" w:color="7C2855"/>
            </w:tcBorders>
            <w:shd w:val="clear" w:color="auto" w:fill="F2F2F2" w:themeFill="background1" w:themeFillShade="F2"/>
          </w:tcPr>
          <w:p w14:paraId="28BACB08" w14:textId="77777777" w:rsidR="00527CC9" w:rsidRPr="002F3A88" w:rsidRDefault="00527CC9" w:rsidP="002A163F">
            <w:pPr>
              <w:rPr>
                <w:noProof/>
                <w:lang w:val="fr-CA"/>
              </w:rPr>
            </w:pPr>
          </w:p>
        </w:tc>
      </w:tr>
      <w:tr w:rsidR="00527CC9" w:rsidRPr="00167B0E" w14:paraId="6812EC73" w14:textId="77777777" w:rsidTr="00325C07">
        <w:trPr>
          <w:cantSplit/>
          <w:tblHeader/>
        </w:trPr>
        <w:tc>
          <w:tcPr>
            <w:tcW w:w="3792" w:type="dxa"/>
            <w:vMerge/>
          </w:tcPr>
          <w:p w14:paraId="58DF9ABC" w14:textId="77777777" w:rsidR="00527CC9" w:rsidRPr="002F3A88" w:rsidRDefault="00527CC9" w:rsidP="00A9489B">
            <w:pPr>
              <w:rPr>
                <w:noProof/>
                <w:lang w:val="fr-CA"/>
              </w:rPr>
            </w:pPr>
          </w:p>
        </w:tc>
        <w:tc>
          <w:tcPr>
            <w:tcW w:w="567" w:type="dxa"/>
            <w:vMerge/>
          </w:tcPr>
          <w:p w14:paraId="154008EC" w14:textId="77777777" w:rsidR="00527CC9" w:rsidRPr="002F3A88" w:rsidRDefault="00527CC9" w:rsidP="003A22A1">
            <w:pPr>
              <w:pStyle w:val="Heading1"/>
              <w:rPr>
                <w:noProof/>
                <w:lang w:val="fr-CA"/>
              </w:rPr>
            </w:pPr>
          </w:p>
        </w:tc>
        <w:tc>
          <w:tcPr>
            <w:tcW w:w="2835" w:type="dxa"/>
            <w:vMerge/>
          </w:tcPr>
          <w:p w14:paraId="54A30B6B" w14:textId="77777777" w:rsidR="00527CC9" w:rsidRPr="002F3A88" w:rsidRDefault="00527CC9" w:rsidP="00A9489B">
            <w:pPr>
              <w:rPr>
                <w:noProof/>
                <w:lang w:val="fr-CA"/>
              </w:rPr>
            </w:pPr>
          </w:p>
        </w:tc>
        <w:tc>
          <w:tcPr>
            <w:tcW w:w="639" w:type="dxa"/>
            <w:tcBorders>
              <w:top w:val="single" w:sz="4" w:space="0" w:color="7C2855"/>
              <w:left w:val="single" w:sz="4" w:space="0" w:color="7C2855"/>
              <w:bottom w:val="single" w:sz="4" w:space="0" w:color="7C2855"/>
            </w:tcBorders>
            <w:shd w:val="clear" w:color="auto" w:fill="DFE0DE"/>
          </w:tcPr>
          <w:p w14:paraId="0DF9DEDE" w14:textId="745C600A" w:rsidR="00527CC9" w:rsidRPr="002F3A88" w:rsidRDefault="00527CC9" w:rsidP="003A22A1">
            <w:pPr>
              <w:pStyle w:val="Heading1"/>
              <w:rPr>
                <w:noProof/>
                <w:lang w:val="fr-CA"/>
              </w:rPr>
            </w:pPr>
            <w:r w:rsidRPr="002F3A88">
              <w:rPr>
                <w:noProof/>
                <w:lang w:val="fr-CA"/>
              </w:rPr>
              <w:t>3.1.2</w:t>
            </w:r>
          </w:p>
        </w:tc>
        <w:tc>
          <w:tcPr>
            <w:tcW w:w="2835" w:type="dxa"/>
            <w:tcBorders>
              <w:top w:val="single" w:sz="4" w:space="0" w:color="7C2855"/>
              <w:bottom w:val="single" w:sz="4" w:space="0" w:color="7C2855"/>
              <w:right w:val="single" w:sz="4" w:space="0" w:color="7C2855"/>
            </w:tcBorders>
            <w:shd w:val="clear" w:color="auto" w:fill="DFE0DE"/>
          </w:tcPr>
          <w:p w14:paraId="45E799B4" w14:textId="2CB73154" w:rsidR="00527CC9" w:rsidRPr="002F3A88" w:rsidRDefault="001F0632" w:rsidP="00A9489B">
            <w:pPr>
              <w:rPr>
                <w:noProof/>
                <w:lang w:val="fr-CA"/>
              </w:rPr>
            </w:pPr>
            <w:r w:rsidRPr="002F3A88">
              <w:rPr>
                <w:noProof/>
                <w:lang w:val="fr-CA"/>
              </w:rPr>
              <w:t>Les objectifs d’accès aux services sont mesurés et rendus publics.</w:t>
            </w:r>
            <w:r w:rsidR="00C44FF7" w:rsidRPr="002F3A88">
              <w:rPr>
                <w:noProof/>
                <w:lang w:val="fr-CA"/>
              </w:rPr>
              <w:br/>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61006AED" w14:textId="77777777" w:rsidR="00527CC9" w:rsidRPr="002F3A88" w:rsidRDefault="00527CC9" w:rsidP="002A163F">
            <w:pPr>
              <w:rPr>
                <w:noProof/>
                <w:lang w:val="fr-CA"/>
              </w:rPr>
            </w:pPr>
          </w:p>
        </w:tc>
      </w:tr>
      <w:tr w:rsidR="00527CC9" w:rsidRPr="00167B0E" w14:paraId="15D44A33" w14:textId="77777777" w:rsidTr="00325C07">
        <w:trPr>
          <w:cantSplit/>
          <w:tblHeader/>
        </w:trPr>
        <w:tc>
          <w:tcPr>
            <w:tcW w:w="3792" w:type="dxa"/>
            <w:vMerge/>
          </w:tcPr>
          <w:p w14:paraId="3905D643" w14:textId="77777777" w:rsidR="00527CC9" w:rsidRPr="002F3A88" w:rsidRDefault="00527CC9" w:rsidP="00A9489B">
            <w:pPr>
              <w:rPr>
                <w:noProof/>
                <w:lang w:val="fr-CA"/>
              </w:rPr>
            </w:pPr>
          </w:p>
        </w:tc>
        <w:tc>
          <w:tcPr>
            <w:tcW w:w="567" w:type="dxa"/>
            <w:vMerge/>
          </w:tcPr>
          <w:p w14:paraId="2FF9A40E" w14:textId="77777777" w:rsidR="00527CC9" w:rsidRPr="002F3A88" w:rsidRDefault="00527CC9" w:rsidP="003A22A1">
            <w:pPr>
              <w:pStyle w:val="Heading1"/>
              <w:rPr>
                <w:noProof/>
                <w:lang w:val="fr-CA"/>
              </w:rPr>
            </w:pPr>
          </w:p>
        </w:tc>
        <w:tc>
          <w:tcPr>
            <w:tcW w:w="2835" w:type="dxa"/>
            <w:vMerge/>
          </w:tcPr>
          <w:p w14:paraId="17176D27" w14:textId="77777777" w:rsidR="00527CC9" w:rsidRPr="002F3A88" w:rsidRDefault="00527CC9" w:rsidP="00A9489B">
            <w:pPr>
              <w:rPr>
                <w:noProof/>
                <w:lang w:val="fr-CA"/>
              </w:rPr>
            </w:pPr>
          </w:p>
        </w:tc>
        <w:tc>
          <w:tcPr>
            <w:tcW w:w="639" w:type="dxa"/>
            <w:tcBorders>
              <w:top w:val="single" w:sz="4" w:space="0" w:color="7C2855"/>
              <w:left w:val="single" w:sz="4" w:space="0" w:color="7C2855"/>
              <w:bottom w:val="single" w:sz="4" w:space="0" w:color="7C2855"/>
            </w:tcBorders>
            <w:shd w:val="clear" w:color="auto" w:fill="DFE0DE"/>
          </w:tcPr>
          <w:p w14:paraId="78C33041" w14:textId="42D28799" w:rsidR="00527CC9" w:rsidRPr="002F3A88" w:rsidRDefault="00527CC9" w:rsidP="003A22A1">
            <w:pPr>
              <w:pStyle w:val="Heading1"/>
              <w:rPr>
                <w:noProof/>
                <w:lang w:val="fr-CA"/>
              </w:rPr>
            </w:pPr>
            <w:r w:rsidRPr="002F3A88">
              <w:rPr>
                <w:noProof/>
                <w:lang w:val="fr-CA"/>
              </w:rPr>
              <w:t>3.1.3</w:t>
            </w:r>
          </w:p>
        </w:tc>
        <w:tc>
          <w:tcPr>
            <w:tcW w:w="2835" w:type="dxa"/>
            <w:tcBorders>
              <w:top w:val="single" w:sz="4" w:space="0" w:color="7C2855"/>
              <w:bottom w:val="single" w:sz="4" w:space="0" w:color="7C2855"/>
              <w:right w:val="single" w:sz="4" w:space="0" w:color="7C2855"/>
            </w:tcBorders>
            <w:shd w:val="clear" w:color="auto" w:fill="DFE0DE"/>
          </w:tcPr>
          <w:p w14:paraId="731F2B91" w14:textId="11D94186" w:rsidR="00527CC9" w:rsidRPr="002F3A88" w:rsidRDefault="001F0632" w:rsidP="00A9489B">
            <w:pPr>
              <w:rPr>
                <w:noProof/>
                <w:lang w:val="fr-CA"/>
              </w:rPr>
            </w:pPr>
            <w:r w:rsidRPr="002F3A88">
              <w:rPr>
                <w:noProof/>
                <w:lang w:val="fr-CA"/>
              </w:rPr>
              <w:t>D’autres alternatives pour la prestation des soins sont disponibles, y compris des visites virtuelles et en personne de prestataires.</w:t>
            </w:r>
            <w:r w:rsidR="00C44FF7" w:rsidRPr="002F3A88">
              <w:rPr>
                <w:noProof/>
                <w:lang w:val="fr-CA"/>
              </w:rPr>
              <w:br/>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0DD7408E" w14:textId="77777777" w:rsidR="00527CC9" w:rsidRPr="002F3A88" w:rsidRDefault="00527CC9" w:rsidP="002A163F">
            <w:pPr>
              <w:rPr>
                <w:noProof/>
                <w:lang w:val="fr-CA"/>
              </w:rPr>
            </w:pPr>
          </w:p>
        </w:tc>
      </w:tr>
      <w:tr w:rsidR="00043D55" w:rsidRPr="00167B0E" w14:paraId="74F1682F" w14:textId="77777777" w:rsidTr="00325C07">
        <w:trPr>
          <w:cantSplit/>
          <w:tblHeader/>
        </w:trPr>
        <w:tc>
          <w:tcPr>
            <w:tcW w:w="3792" w:type="dxa"/>
            <w:vMerge/>
          </w:tcPr>
          <w:p w14:paraId="0C2F4C5D" w14:textId="77777777" w:rsidR="00043D55" w:rsidRPr="002F3A88" w:rsidRDefault="00043D55" w:rsidP="00A9489B">
            <w:pPr>
              <w:rPr>
                <w:noProof/>
                <w:lang w:val="fr-CA"/>
              </w:rPr>
            </w:pPr>
          </w:p>
        </w:tc>
        <w:tc>
          <w:tcPr>
            <w:tcW w:w="567" w:type="dxa"/>
            <w:vMerge w:val="restart"/>
            <w:tcBorders>
              <w:top w:val="single" w:sz="4" w:space="0" w:color="7C2855"/>
            </w:tcBorders>
            <w:shd w:val="clear" w:color="auto" w:fill="DFE0DE"/>
          </w:tcPr>
          <w:p w14:paraId="0D914A5B" w14:textId="503CE180" w:rsidR="00043D55" w:rsidRPr="002F3A88" w:rsidRDefault="00043D55" w:rsidP="00023EE3">
            <w:pPr>
              <w:pStyle w:val="Heading-RowA"/>
            </w:pPr>
            <w:r w:rsidRPr="002F3A88">
              <w:t>3.2</w:t>
            </w:r>
            <w:r w:rsidRPr="002F3A88">
              <w:rPr>
                <w:sz w:val="16"/>
                <w:szCs w:val="16"/>
              </w:rPr>
              <w:t xml:space="preserve"> </w:t>
            </w:r>
          </w:p>
        </w:tc>
        <w:tc>
          <w:tcPr>
            <w:tcW w:w="2835" w:type="dxa"/>
            <w:vMerge w:val="restart"/>
            <w:tcBorders>
              <w:top w:val="single" w:sz="4" w:space="0" w:color="7C2855"/>
              <w:right w:val="single" w:sz="4" w:space="0" w:color="7C2855"/>
            </w:tcBorders>
            <w:shd w:val="clear" w:color="auto" w:fill="DFE0DE"/>
          </w:tcPr>
          <w:p w14:paraId="20C92996" w14:textId="77777777" w:rsidR="00031A1B" w:rsidRPr="00023EE3" w:rsidRDefault="00031A1B" w:rsidP="00023EE3">
            <w:pPr>
              <w:pStyle w:val="Heading-RowA"/>
              <w:spacing w:line="240" w:lineRule="auto"/>
              <w:ind w:left="0" w:firstLine="0"/>
              <w:rPr>
                <w:b w:val="0"/>
                <w:bCs/>
                <w:color w:val="404041"/>
              </w:rPr>
            </w:pPr>
            <w:r w:rsidRPr="00023EE3">
              <w:rPr>
                <w:b w:val="0"/>
                <w:bCs/>
                <w:color w:val="404041"/>
              </w:rPr>
              <w:t>Les ressources humaines sont affectées efficacement en fonction des besoins de la population.</w:t>
            </w:r>
          </w:p>
          <w:p w14:paraId="19DE2BE0" w14:textId="604D1211" w:rsidR="00043D55" w:rsidRPr="002F3A88" w:rsidRDefault="00031A1B" w:rsidP="00023EE3">
            <w:pPr>
              <w:pStyle w:val="Heading-RowA"/>
              <w:spacing w:line="240" w:lineRule="auto"/>
              <w:ind w:left="0" w:firstLine="0"/>
            </w:pPr>
            <w:r w:rsidRPr="00023EE3">
              <w:rPr>
                <w:b w:val="0"/>
                <w:bCs/>
                <w:color w:val="D41B5A"/>
              </w:rPr>
              <w:t>Indicateur : Compétences des prestataires relativement aux lignes directrices et aux besoins de la population desservie par les services de santé</w:t>
            </w:r>
          </w:p>
        </w:tc>
        <w:tc>
          <w:tcPr>
            <w:tcW w:w="639" w:type="dxa"/>
            <w:tcBorders>
              <w:top w:val="single" w:sz="4" w:space="0" w:color="7C2855"/>
              <w:left w:val="single" w:sz="4" w:space="0" w:color="7C2855"/>
              <w:bottom w:val="single" w:sz="4" w:space="0" w:color="7C2855"/>
            </w:tcBorders>
            <w:shd w:val="clear" w:color="auto" w:fill="DFE0DE"/>
          </w:tcPr>
          <w:p w14:paraId="7B45E74B" w14:textId="4B235F82" w:rsidR="00043D55" w:rsidRPr="002F3A88" w:rsidRDefault="00043D55" w:rsidP="003A22A1">
            <w:pPr>
              <w:pStyle w:val="Heading1"/>
              <w:rPr>
                <w:noProof/>
                <w:lang w:val="fr-CA"/>
              </w:rPr>
            </w:pPr>
            <w:r w:rsidRPr="002F3A88">
              <w:rPr>
                <w:noProof/>
                <w:lang w:val="fr-CA"/>
              </w:rPr>
              <w:t>3.2.1</w:t>
            </w:r>
          </w:p>
        </w:tc>
        <w:tc>
          <w:tcPr>
            <w:tcW w:w="2835" w:type="dxa"/>
            <w:tcBorders>
              <w:top w:val="single" w:sz="4" w:space="0" w:color="7C2855"/>
              <w:bottom w:val="single" w:sz="4" w:space="0" w:color="7C2855"/>
              <w:right w:val="single" w:sz="4" w:space="0" w:color="7C2855"/>
            </w:tcBorders>
            <w:shd w:val="clear" w:color="auto" w:fill="DFE0DE"/>
          </w:tcPr>
          <w:p w14:paraId="43C72DEB" w14:textId="4C2CF066" w:rsidR="00043D55" w:rsidRPr="002F3A88" w:rsidRDefault="001F0632" w:rsidP="00A9489B">
            <w:pPr>
              <w:rPr>
                <w:noProof/>
                <w:lang w:val="fr-CA"/>
              </w:rPr>
            </w:pPr>
            <w:r w:rsidRPr="002F3A88">
              <w:rPr>
                <w:noProof/>
                <w:lang w:val="fr-CA"/>
              </w:rPr>
              <w:t>Une stratégie d’allocation des ressources humaines fondée sur les besoins est en place, y compris un ensemble de compétences appropriées pour la main-d’œuvre.</w:t>
            </w:r>
            <w:r w:rsidR="00C44FF7" w:rsidRPr="002F3A88">
              <w:rPr>
                <w:noProof/>
                <w:lang w:val="fr-CA"/>
              </w:rPr>
              <w:br/>
            </w:r>
          </w:p>
        </w:tc>
        <w:tc>
          <w:tcPr>
            <w:tcW w:w="2835" w:type="dxa"/>
            <w:tcBorders>
              <w:top w:val="single" w:sz="4" w:space="0" w:color="7C2855"/>
              <w:left w:val="single" w:sz="4" w:space="0" w:color="7C2855"/>
              <w:bottom w:val="single" w:sz="4" w:space="0" w:color="7C2855"/>
            </w:tcBorders>
            <w:shd w:val="clear" w:color="auto" w:fill="F2F2F2" w:themeFill="background1" w:themeFillShade="F2"/>
          </w:tcPr>
          <w:p w14:paraId="4B396C02" w14:textId="77777777" w:rsidR="00043D55" w:rsidRPr="002F3A88" w:rsidRDefault="00043D55" w:rsidP="002A163F">
            <w:pPr>
              <w:rPr>
                <w:noProof/>
                <w:lang w:val="fr-CA"/>
              </w:rPr>
            </w:pPr>
          </w:p>
        </w:tc>
      </w:tr>
      <w:tr w:rsidR="00043D55" w:rsidRPr="00167B0E" w14:paraId="3D46C5CF" w14:textId="77777777" w:rsidTr="00325C07">
        <w:trPr>
          <w:cantSplit/>
          <w:tblHeader/>
        </w:trPr>
        <w:tc>
          <w:tcPr>
            <w:tcW w:w="3792" w:type="dxa"/>
            <w:vMerge/>
          </w:tcPr>
          <w:p w14:paraId="6C36BCA5" w14:textId="77777777" w:rsidR="00043D55" w:rsidRPr="002F3A88" w:rsidRDefault="00043D55" w:rsidP="00A9489B">
            <w:pPr>
              <w:rPr>
                <w:noProof/>
                <w:lang w:val="fr-CA"/>
              </w:rPr>
            </w:pPr>
          </w:p>
        </w:tc>
        <w:tc>
          <w:tcPr>
            <w:tcW w:w="567" w:type="dxa"/>
            <w:vMerge/>
          </w:tcPr>
          <w:p w14:paraId="0AF0039A" w14:textId="77777777" w:rsidR="00043D55" w:rsidRPr="002F3A88" w:rsidRDefault="00043D55" w:rsidP="00A9489B">
            <w:pPr>
              <w:rPr>
                <w:noProof/>
                <w:lang w:val="fr-CA"/>
              </w:rPr>
            </w:pPr>
          </w:p>
        </w:tc>
        <w:tc>
          <w:tcPr>
            <w:tcW w:w="2835" w:type="dxa"/>
            <w:vMerge/>
          </w:tcPr>
          <w:p w14:paraId="34C6CF96" w14:textId="77777777" w:rsidR="00043D55" w:rsidRPr="002F3A88" w:rsidRDefault="00043D55" w:rsidP="00A9489B">
            <w:pPr>
              <w:rPr>
                <w:noProof/>
                <w:lang w:val="fr-CA"/>
              </w:rPr>
            </w:pPr>
          </w:p>
        </w:tc>
        <w:tc>
          <w:tcPr>
            <w:tcW w:w="639" w:type="dxa"/>
            <w:tcBorders>
              <w:top w:val="single" w:sz="4" w:space="0" w:color="7C2855"/>
              <w:left w:val="single" w:sz="4" w:space="0" w:color="7C2855"/>
            </w:tcBorders>
            <w:shd w:val="clear" w:color="auto" w:fill="DFE0DE"/>
          </w:tcPr>
          <w:p w14:paraId="4A168083" w14:textId="41B07AB0" w:rsidR="00043D55" w:rsidRPr="002F3A88" w:rsidRDefault="00043D55" w:rsidP="003A22A1">
            <w:pPr>
              <w:pStyle w:val="Heading1"/>
              <w:rPr>
                <w:noProof/>
                <w:lang w:val="fr-CA"/>
              </w:rPr>
            </w:pPr>
            <w:r w:rsidRPr="002F3A88">
              <w:rPr>
                <w:noProof/>
                <w:lang w:val="fr-CA"/>
              </w:rPr>
              <w:t>3.2.2</w:t>
            </w:r>
          </w:p>
        </w:tc>
        <w:tc>
          <w:tcPr>
            <w:tcW w:w="2835" w:type="dxa"/>
            <w:tcBorders>
              <w:top w:val="single" w:sz="4" w:space="0" w:color="7C2855"/>
              <w:right w:val="single" w:sz="4" w:space="0" w:color="7C2855"/>
            </w:tcBorders>
            <w:shd w:val="clear" w:color="auto" w:fill="DFE0DE"/>
          </w:tcPr>
          <w:p w14:paraId="5C4D0551" w14:textId="1BEE42C1" w:rsidR="00043D55" w:rsidRPr="002F3A88" w:rsidRDefault="00C44FF7" w:rsidP="00A9489B">
            <w:pPr>
              <w:rPr>
                <w:noProof/>
                <w:lang w:val="fr-CA"/>
              </w:rPr>
            </w:pPr>
            <w:r w:rsidRPr="002F3A88">
              <w:rPr>
                <w:noProof/>
                <w:lang w:val="fr-CA"/>
              </w:rPr>
              <w:t>L’étendue de la pratique des prestataires de services de santé (réglementés et non réglementés, gardiens des connaissances et aînés) est reconnue et optimisée selon les données probantes.</w:t>
            </w:r>
            <w:r w:rsidRPr="002F3A88">
              <w:rPr>
                <w:noProof/>
                <w:lang w:val="fr-CA"/>
              </w:rPr>
              <w:br/>
            </w:r>
          </w:p>
        </w:tc>
        <w:tc>
          <w:tcPr>
            <w:tcW w:w="2835" w:type="dxa"/>
            <w:tcBorders>
              <w:top w:val="single" w:sz="4" w:space="0" w:color="7C2855"/>
              <w:left w:val="single" w:sz="4" w:space="0" w:color="7C2855"/>
            </w:tcBorders>
            <w:shd w:val="clear" w:color="auto" w:fill="F2F2F2" w:themeFill="background1" w:themeFillShade="F2"/>
          </w:tcPr>
          <w:p w14:paraId="11D1EB91" w14:textId="77777777" w:rsidR="00043D55" w:rsidRPr="002F3A88" w:rsidRDefault="00043D55" w:rsidP="002A163F">
            <w:pPr>
              <w:rPr>
                <w:noProof/>
                <w:lang w:val="fr-CA"/>
              </w:rPr>
            </w:pPr>
          </w:p>
        </w:tc>
      </w:tr>
    </w:tbl>
    <w:p w14:paraId="145FC1EA" w14:textId="7544FC1F" w:rsidR="002A18D4" w:rsidRPr="002F3A88" w:rsidRDefault="002A18D4" w:rsidP="00A9489B">
      <w:pPr>
        <w:rPr>
          <w:noProof/>
          <w:lang w:val="fr-CA"/>
        </w:rPr>
      </w:pPr>
    </w:p>
    <w:tbl>
      <w:tblPr>
        <w:tblStyle w:val="TableGrid"/>
        <w:tblW w:w="13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566"/>
        <w:gridCol w:w="2815"/>
        <w:gridCol w:w="648"/>
        <w:gridCol w:w="2831"/>
        <w:gridCol w:w="2831"/>
      </w:tblGrid>
      <w:tr w:rsidR="00F84046" w:rsidRPr="002F3A88" w14:paraId="0C74906D" w14:textId="77777777" w:rsidTr="00C04D83">
        <w:trPr>
          <w:cantSplit/>
          <w:tblHeader/>
        </w:trPr>
        <w:tc>
          <w:tcPr>
            <w:tcW w:w="3786" w:type="dxa"/>
          </w:tcPr>
          <w:p w14:paraId="389EEDB3" w14:textId="01796FFE" w:rsidR="002A18D4" w:rsidRPr="002F3A88" w:rsidRDefault="00C04D83" w:rsidP="00A9489B">
            <w:pPr>
              <w:rPr>
                <w:noProof/>
                <w:lang w:val="fr-CA"/>
              </w:rPr>
            </w:pPr>
            <w:r w:rsidRPr="002F3A88">
              <w:rPr>
                <w:noProof/>
                <w:lang w:val="fr-CA"/>
              </w:rPr>
              <w:lastRenderedPageBreak/>
              <w:drawing>
                <wp:anchor distT="0" distB="0" distL="114300" distR="114300" simplePos="0" relativeHeight="251658242" behindDoc="0" locked="0" layoutInCell="1" allowOverlap="1" wp14:anchorId="6FF63A03" wp14:editId="3062037A">
                  <wp:simplePos x="0" y="0"/>
                  <wp:positionH relativeFrom="column">
                    <wp:posOffset>69066</wp:posOffset>
                  </wp:positionH>
                  <wp:positionV relativeFrom="paragraph">
                    <wp:posOffset>394362</wp:posOffset>
                  </wp:positionV>
                  <wp:extent cx="2270654" cy="2740025"/>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0654" cy="2740025"/>
                          </a:xfrm>
                          <a:prstGeom prst="rect">
                            <a:avLst/>
                          </a:prstGeom>
                        </pic:spPr>
                      </pic:pic>
                    </a:graphicData>
                  </a:graphic>
                  <wp14:sizeRelV relativeFrom="margin">
                    <wp14:pctHeight>0</wp14:pctHeight>
                  </wp14:sizeRelV>
                </wp:anchor>
              </w:drawing>
            </w:r>
          </w:p>
        </w:tc>
        <w:tc>
          <w:tcPr>
            <w:tcW w:w="566" w:type="dxa"/>
            <w:tcBorders>
              <w:bottom w:val="single" w:sz="18" w:space="0" w:color="7C2855"/>
            </w:tcBorders>
          </w:tcPr>
          <w:p w14:paraId="4411AEA4" w14:textId="77777777" w:rsidR="002A18D4" w:rsidRPr="002F3A88" w:rsidRDefault="002A18D4" w:rsidP="00A9489B">
            <w:pPr>
              <w:rPr>
                <w:noProof/>
                <w:lang w:val="fr-CA"/>
              </w:rPr>
            </w:pPr>
          </w:p>
        </w:tc>
        <w:tc>
          <w:tcPr>
            <w:tcW w:w="2815" w:type="dxa"/>
            <w:tcBorders>
              <w:bottom w:val="single" w:sz="18" w:space="0" w:color="7C2855"/>
            </w:tcBorders>
          </w:tcPr>
          <w:p w14:paraId="75658F69" w14:textId="3C7A8AFA" w:rsidR="002A18D4" w:rsidRPr="002F3A88" w:rsidRDefault="00C04D83" w:rsidP="00FE78A7">
            <w:pPr>
              <w:pStyle w:val="Heading-ColumnA"/>
            </w:pPr>
            <w:r w:rsidRPr="002F3A88">
              <w:t>Buts</w:t>
            </w:r>
          </w:p>
        </w:tc>
        <w:tc>
          <w:tcPr>
            <w:tcW w:w="648" w:type="dxa"/>
            <w:tcBorders>
              <w:bottom w:val="single" w:sz="18" w:space="0" w:color="7C2855"/>
            </w:tcBorders>
          </w:tcPr>
          <w:p w14:paraId="543B9412" w14:textId="77777777" w:rsidR="002A18D4" w:rsidRPr="002F3A88" w:rsidRDefault="002A18D4" w:rsidP="00A9489B">
            <w:pPr>
              <w:pStyle w:val="Heading2"/>
              <w:rPr>
                <w:rFonts w:asciiTheme="minorHAnsi" w:hAnsiTheme="minorHAnsi" w:cstheme="minorHAnsi"/>
                <w:b/>
                <w:bCs/>
                <w:noProof/>
                <w:lang w:val="fr-CA"/>
              </w:rPr>
            </w:pPr>
          </w:p>
        </w:tc>
        <w:tc>
          <w:tcPr>
            <w:tcW w:w="2831" w:type="dxa"/>
            <w:tcBorders>
              <w:bottom w:val="single" w:sz="18" w:space="0" w:color="7C2855"/>
            </w:tcBorders>
          </w:tcPr>
          <w:p w14:paraId="0CAC6A28" w14:textId="5ABF5919" w:rsidR="002A18D4" w:rsidRPr="002F3A88" w:rsidRDefault="00C04D83" w:rsidP="00AC2385">
            <w:pPr>
              <w:pStyle w:val="Heading-ColumnA"/>
            </w:pPr>
            <w:r w:rsidRPr="002F3A88">
              <w:t>Résultat</w:t>
            </w:r>
          </w:p>
        </w:tc>
        <w:tc>
          <w:tcPr>
            <w:tcW w:w="2831" w:type="dxa"/>
            <w:tcBorders>
              <w:bottom w:val="single" w:sz="18" w:space="0" w:color="7C2855"/>
            </w:tcBorders>
          </w:tcPr>
          <w:p w14:paraId="4D713E6C" w14:textId="3DB10C36" w:rsidR="002A18D4" w:rsidRPr="002F3A88" w:rsidRDefault="00D84E53" w:rsidP="00AC2385">
            <w:pPr>
              <w:pStyle w:val="Heading-ColumnA"/>
            </w:pPr>
            <w:r w:rsidRPr="00BA78A3">
              <w:t>Vos</w:t>
            </w:r>
            <w:r w:rsidR="00655A5E" w:rsidRPr="00BA78A3">
              <w:t xml:space="preserve"> </w:t>
            </w:r>
            <w:r w:rsidRPr="00BA78A3">
              <w:t>i</w:t>
            </w:r>
            <w:r w:rsidR="002A18D4" w:rsidRPr="00BA78A3">
              <w:t>nitiatives</w:t>
            </w:r>
          </w:p>
        </w:tc>
      </w:tr>
      <w:tr w:rsidR="00043D55" w:rsidRPr="00167B0E" w14:paraId="279599AB" w14:textId="77777777" w:rsidTr="00C04D83">
        <w:trPr>
          <w:cantSplit/>
          <w:tblHeader/>
        </w:trPr>
        <w:tc>
          <w:tcPr>
            <w:tcW w:w="3786" w:type="dxa"/>
            <w:vMerge w:val="restart"/>
          </w:tcPr>
          <w:p w14:paraId="6ED55B3E" w14:textId="23CA46B0" w:rsidR="00043D55" w:rsidRPr="002F3A88" w:rsidRDefault="00BA4BFB" w:rsidP="00A9489B">
            <w:pPr>
              <w:rPr>
                <w:noProof/>
                <w:lang w:val="fr-CA"/>
              </w:rPr>
            </w:pPr>
            <w:r>
              <w:rPr>
                <w:noProof/>
                <w:lang w:val="fr-CA"/>
              </w:rPr>
              <mc:AlternateContent>
                <mc:Choice Requires="wps">
                  <w:drawing>
                    <wp:inline distT="0" distB="0" distL="0" distR="0" wp14:anchorId="22069905" wp14:editId="5B2EAFBB">
                      <wp:extent cx="51758" cy="45719"/>
                      <wp:effectExtent l="57150" t="19050" r="62865" b="12065"/>
                      <wp:docPr id="1152649477" name="Rectangle 8" descr="Image mettant en évidence l’Objectif 4 – Soins appropriés, que les soins sont fondés sur des données probantes et centrés sur la personne."/>
                      <wp:cNvGraphicFramePr/>
                      <a:graphic xmlns:a="http://schemas.openxmlformats.org/drawingml/2006/main">
                        <a:graphicData uri="http://schemas.microsoft.com/office/word/2010/wordprocessingShape">
                          <wps:wsp>
                            <wps:cNvSpPr/>
                            <wps:spPr>
                              <a:xfrm>
                                <a:off x="0" y="0"/>
                                <a:ext cx="51758" cy="45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2726E" id="Rectangle 8" o:spid="_x0000_s1026" alt="Image mettant en évidence l’Objectif 4 – Soins appropriés, que les soins sont fondés sur des données probantes et centrés sur la personne." style="width:4.1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" filled="f" stroked="f" strokeweight="1pt">
                      <w10:anchorlock/>
                    </v:rect>
                  </w:pict>
                </mc:Fallback>
              </mc:AlternateContent>
            </w:r>
          </w:p>
        </w:tc>
        <w:tc>
          <w:tcPr>
            <w:tcW w:w="566" w:type="dxa"/>
            <w:tcBorders>
              <w:top w:val="single" w:sz="18" w:space="0" w:color="7C2855"/>
              <w:bottom w:val="single" w:sz="4" w:space="0" w:color="7C2855"/>
            </w:tcBorders>
            <w:shd w:val="clear" w:color="auto" w:fill="DFE0DE"/>
          </w:tcPr>
          <w:p w14:paraId="0A1A5BD4" w14:textId="14FD1523" w:rsidR="00043D55" w:rsidRPr="002F3A88" w:rsidRDefault="00043D55" w:rsidP="003130A3">
            <w:pPr>
              <w:pStyle w:val="Heading-RowA"/>
            </w:pPr>
            <w:r w:rsidRPr="002F3A88">
              <w:t>4.1</w:t>
            </w:r>
          </w:p>
        </w:tc>
        <w:tc>
          <w:tcPr>
            <w:tcW w:w="2815" w:type="dxa"/>
            <w:tcBorders>
              <w:top w:val="single" w:sz="18" w:space="0" w:color="7C2855"/>
              <w:bottom w:val="single" w:sz="4" w:space="0" w:color="7C2855"/>
              <w:right w:val="single" w:sz="4" w:space="0" w:color="7C2855"/>
            </w:tcBorders>
            <w:shd w:val="clear" w:color="auto" w:fill="DFE0DE"/>
          </w:tcPr>
          <w:p w14:paraId="024C3EE3" w14:textId="77777777" w:rsidR="00962419" w:rsidRPr="003130A3" w:rsidRDefault="00962419" w:rsidP="00167B0E">
            <w:pPr>
              <w:pStyle w:val="Heading-RowA"/>
              <w:spacing w:line="240" w:lineRule="auto"/>
              <w:ind w:left="0" w:firstLine="0"/>
              <w:rPr>
                <w:b w:val="0"/>
                <w:bCs/>
                <w:color w:val="404041"/>
              </w:rPr>
            </w:pPr>
            <w:r w:rsidRPr="003130A3">
              <w:rPr>
                <w:b w:val="0"/>
                <w:bCs/>
                <w:color w:val="404041"/>
              </w:rPr>
              <w:t>Les services de santé sont planifiés et offerts en fonction des besoins de la population.</w:t>
            </w:r>
          </w:p>
          <w:p w14:paraId="15B77BCE" w14:textId="42153DDE" w:rsidR="004F7937" w:rsidRPr="002F3A88" w:rsidRDefault="00962419" w:rsidP="00167B0E">
            <w:pPr>
              <w:pStyle w:val="Heading-RowA"/>
              <w:spacing w:line="240" w:lineRule="auto"/>
              <w:ind w:left="0" w:firstLine="0"/>
            </w:pPr>
            <w:r w:rsidRPr="003130A3">
              <w:rPr>
                <w:b w:val="0"/>
                <w:bCs/>
                <w:color w:val="D41B5A"/>
              </w:rPr>
              <w:t>Indicateur : Services de santé adaptés en fonction de l’évaluation des besoins</w:t>
            </w:r>
          </w:p>
        </w:tc>
        <w:tc>
          <w:tcPr>
            <w:tcW w:w="648" w:type="dxa"/>
            <w:tcBorders>
              <w:top w:val="single" w:sz="18" w:space="0" w:color="7C2855"/>
              <w:left w:val="single" w:sz="4" w:space="0" w:color="7C2855"/>
              <w:bottom w:val="single" w:sz="4" w:space="0" w:color="7C2855"/>
            </w:tcBorders>
            <w:shd w:val="clear" w:color="auto" w:fill="DFE0DE"/>
          </w:tcPr>
          <w:p w14:paraId="3B154416" w14:textId="0A31139A" w:rsidR="00043D55" w:rsidRPr="002F3A88" w:rsidRDefault="00043D55" w:rsidP="003A22A1">
            <w:pPr>
              <w:pStyle w:val="Heading1"/>
              <w:rPr>
                <w:noProof/>
                <w:lang w:val="fr-CA"/>
              </w:rPr>
            </w:pPr>
            <w:r w:rsidRPr="002F3A88">
              <w:rPr>
                <w:noProof/>
                <w:lang w:val="fr-CA"/>
              </w:rPr>
              <w:t>4.1.1</w:t>
            </w:r>
          </w:p>
        </w:tc>
        <w:tc>
          <w:tcPr>
            <w:tcW w:w="2831" w:type="dxa"/>
            <w:tcBorders>
              <w:top w:val="single" w:sz="18" w:space="0" w:color="7C2855"/>
              <w:bottom w:val="single" w:sz="4" w:space="0" w:color="7C2855"/>
              <w:right w:val="single" w:sz="4" w:space="0" w:color="7C2855"/>
            </w:tcBorders>
            <w:shd w:val="clear" w:color="auto" w:fill="DFE0DE"/>
          </w:tcPr>
          <w:p w14:paraId="39E1C6F3" w14:textId="1D4431D7" w:rsidR="00043D55" w:rsidRPr="002F3A88" w:rsidRDefault="00EC7284" w:rsidP="00A9489B">
            <w:pPr>
              <w:rPr>
                <w:noProof/>
                <w:lang w:val="fr-CA"/>
              </w:rPr>
            </w:pPr>
            <w:r w:rsidRPr="002F3A88">
              <w:rPr>
                <w:noProof/>
                <w:lang w:val="fr-CA"/>
              </w:rPr>
              <w:t>La promotion de la santé et la prévention des maladies sont clairement abordées.</w:t>
            </w:r>
          </w:p>
        </w:tc>
        <w:tc>
          <w:tcPr>
            <w:tcW w:w="2831" w:type="dxa"/>
            <w:tcBorders>
              <w:top w:val="single" w:sz="18" w:space="0" w:color="7C2855"/>
              <w:left w:val="single" w:sz="4" w:space="0" w:color="7C2855"/>
              <w:bottom w:val="single" w:sz="4" w:space="0" w:color="7C2855"/>
            </w:tcBorders>
            <w:shd w:val="clear" w:color="auto" w:fill="F2F2F2" w:themeFill="background1" w:themeFillShade="F2"/>
          </w:tcPr>
          <w:p w14:paraId="259A32A5" w14:textId="77777777" w:rsidR="00043D55" w:rsidRPr="002F3A88" w:rsidRDefault="00043D55" w:rsidP="002A163F">
            <w:pPr>
              <w:rPr>
                <w:noProof/>
                <w:lang w:val="fr-CA"/>
              </w:rPr>
            </w:pPr>
          </w:p>
        </w:tc>
      </w:tr>
      <w:tr w:rsidR="00043D55" w:rsidRPr="00167B0E" w14:paraId="6745E1F3" w14:textId="77777777" w:rsidTr="00C04D83">
        <w:trPr>
          <w:cantSplit/>
          <w:tblHeader/>
        </w:trPr>
        <w:tc>
          <w:tcPr>
            <w:tcW w:w="3786" w:type="dxa"/>
            <w:vMerge/>
          </w:tcPr>
          <w:p w14:paraId="3134F1AA" w14:textId="77777777" w:rsidR="00043D55" w:rsidRPr="002F3A88" w:rsidRDefault="00043D55" w:rsidP="00A9489B">
            <w:pPr>
              <w:rPr>
                <w:noProof/>
                <w:lang w:val="fr-CA"/>
              </w:rPr>
            </w:pPr>
          </w:p>
        </w:tc>
        <w:tc>
          <w:tcPr>
            <w:tcW w:w="566" w:type="dxa"/>
            <w:vMerge w:val="restart"/>
            <w:tcBorders>
              <w:top w:val="single" w:sz="4" w:space="0" w:color="7C2855"/>
            </w:tcBorders>
            <w:shd w:val="clear" w:color="auto" w:fill="DFE0DE"/>
          </w:tcPr>
          <w:p w14:paraId="5727D79B" w14:textId="4C208BD9" w:rsidR="00043D55" w:rsidRPr="002F3A88" w:rsidRDefault="00043D55" w:rsidP="008D32DC">
            <w:pPr>
              <w:pStyle w:val="Heading-RowA"/>
            </w:pPr>
            <w:r w:rsidRPr="002F3A88">
              <w:t>4.2</w:t>
            </w:r>
            <w:r w:rsidRPr="002F3A88">
              <w:rPr>
                <w:sz w:val="16"/>
                <w:szCs w:val="16"/>
              </w:rPr>
              <w:t xml:space="preserve"> </w:t>
            </w:r>
          </w:p>
        </w:tc>
        <w:tc>
          <w:tcPr>
            <w:tcW w:w="2815" w:type="dxa"/>
            <w:vMerge w:val="restart"/>
            <w:tcBorders>
              <w:top w:val="single" w:sz="4" w:space="0" w:color="7C2855"/>
              <w:right w:val="single" w:sz="4" w:space="0" w:color="7C2855"/>
            </w:tcBorders>
            <w:shd w:val="clear" w:color="auto" w:fill="DFE0DE"/>
          </w:tcPr>
          <w:p w14:paraId="7D19949D" w14:textId="77777777" w:rsidR="00962419" w:rsidRPr="008D32DC" w:rsidRDefault="00962419" w:rsidP="00167B0E">
            <w:pPr>
              <w:pStyle w:val="Heading-RowA"/>
              <w:spacing w:line="240" w:lineRule="auto"/>
              <w:ind w:left="0" w:firstLine="0"/>
              <w:rPr>
                <w:b w:val="0"/>
                <w:bCs/>
                <w:color w:val="404041"/>
              </w:rPr>
            </w:pPr>
            <w:r w:rsidRPr="008D32DC">
              <w:rPr>
                <w:b w:val="0"/>
                <w:bCs/>
                <w:color w:val="404041"/>
              </w:rPr>
              <w:t>La prestation de soins appropriés est activement encouragée et suivie et les variations injustifiées dans les soins sont réduites au minimum.</w:t>
            </w:r>
          </w:p>
          <w:p w14:paraId="2E872EC6" w14:textId="37C257AD" w:rsidR="004F7937" w:rsidRPr="002F3A88" w:rsidRDefault="00962419" w:rsidP="00167B0E">
            <w:pPr>
              <w:pStyle w:val="Heading-RowA"/>
              <w:spacing w:line="240" w:lineRule="auto"/>
              <w:ind w:left="0" w:firstLine="0"/>
            </w:pPr>
            <w:r w:rsidRPr="008D32DC">
              <w:rPr>
                <w:b w:val="0"/>
                <w:bCs/>
                <w:color w:val="D41B5A"/>
              </w:rPr>
              <w:t>Indicateur : Les variations dans la prestation de soins appropriés pour des interventions sélectionnées localement sont documentées et orientent les processus d’amélioration de la qualité</w:t>
            </w:r>
          </w:p>
        </w:tc>
        <w:tc>
          <w:tcPr>
            <w:tcW w:w="648" w:type="dxa"/>
            <w:tcBorders>
              <w:top w:val="single" w:sz="4" w:space="0" w:color="7C2855"/>
              <w:left w:val="single" w:sz="4" w:space="0" w:color="7C2855"/>
              <w:bottom w:val="single" w:sz="4" w:space="0" w:color="7C2855"/>
            </w:tcBorders>
            <w:shd w:val="clear" w:color="auto" w:fill="DFE0DE"/>
          </w:tcPr>
          <w:p w14:paraId="131A3720" w14:textId="2E83553F" w:rsidR="00043D55" w:rsidRPr="002F3A88" w:rsidRDefault="00043D55" w:rsidP="003A22A1">
            <w:pPr>
              <w:pStyle w:val="Heading1"/>
              <w:rPr>
                <w:noProof/>
                <w:lang w:val="fr-CA"/>
              </w:rPr>
            </w:pPr>
            <w:r w:rsidRPr="002F3A88">
              <w:rPr>
                <w:noProof/>
                <w:lang w:val="fr-CA"/>
              </w:rPr>
              <w:t>4.2.1</w:t>
            </w:r>
          </w:p>
        </w:tc>
        <w:tc>
          <w:tcPr>
            <w:tcW w:w="2831" w:type="dxa"/>
            <w:tcBorders>
              <w:top w:val="single" w:sz="4" w:space="0" w:color="7C2855"/>
              <w:bottom w:val="single" w:sz="4" w:space="0" w:color="7C2855"/>
              <w:right w:val="single" w:sz="4" w:space="0" w:color="7C2855"/>
            </w:tcBorders>
            <w:shd w:val="clear" w:color="auto" w:fill="DFE0DE"/>
          </w:tcPr>
          <w:p w14:paraId="6FC18E41" w14:textId="1303F884" w:rsidR="00ED50CD" w:rsidRPr="002F3A88" w:rsidRDefault="00EC7284" w:rsidP="00A9489B">
            <w:pPr>
              <w:rPr>
                <w:noProof/>
                <w:lang w:val="fr-CA"/>
              </w:rPr>
            </w:pPr>
            <w:r w:rsidRPr="002F3A88">
              <w:rPr>
                <w:noProof/>
                <w:lang w:val="fr-CA"/>
              </w:rPr>
              <w:t>Les soins sont clairement fondés sur des données probantes tout au long du cheminement du patient, ce qui reflète les préférences des patients.</w:t>
            </w:r>
            <w:r w:rsidRPr="002F3A88">
              <w:rPr>
                <w:noProof/>
                <w:lang w:val="fr-CA"/>
              </w:rPr>
              <w:br/>
            </w:r>
          </w:p>
        </w:tc>
        <w:tc>
          <w:tcPr>
            <w:tcW w:w="2831" w:type="dxa"/>
            <w:tcBorders>
              <w:top w:val="single" w:sz="4" w:space="0" w:color="7C2855"/>
              <w:left w:val="single" w:sz="4" w:space="0" w:color="7C2855"/>
              <w:bottom w:val="single" w:sz="4" w:space="0" w:color="7C2855"/>
            </w:tcBorders>
            <w:shd w:val="clear" w:color="auto" w:fill="F2F2F2" w:themeFill="background1" w:themeFillShade="F2"/>
          </w:tcPr>
          <w:p w14:paraId="6F7B4653" w14:textId="77777777" w:rsidR="00043D55" w:rsidRPr="002F3A88" w:rsidRDefault="00043D55" w:rsidP="002A163F">
            <w:pPr>
              <w:rPr>
                <w:noProof/>
                <w:lang w:val="fr-CA"/>
              </w:rPr>
            </w:pPr>
          </w:p>
        </w:tc>
      </w:tr>
      <w:tr w:rsidR="00043D55" w:rsidRPr="00167B0E" w14:paraId="3E105B13" w14:textId="77777777" w:rsidTr="00C04D83">
        <w:trPr>
          <w:cantSplit/>
          <w:tblHeader/>
        </w:trPr>
        <w:tc>
          <w:tcPr>
            <w:tcW w:w="3786" w:type="dxa"/>
            <w:vMerge/>
          </w:tcPr>
          <w:p w14:paraId="7EFA1498" w14:textId="77777777" w:rsidR="00043D55" w:rsidRPr="002F3A88" w:rsidRDefault="00043D55" w:rsidP="00A9489B">
            <w:pPr>
              <w:rPr>
                <w:noProof/>
                <w:lang w:val="fr-CA"/>
              </w:rPr>
            </w:pPr>
          </w:p>
        </w:tc>
        <w:tc>
          <w:tcPr>
            <w:tcW w:w="566" w:type="dxa"/>
            <w:vMerge/>
          </w:tcPr>
          <w:p w14:paraId="5AF50BF2" w14:textId="77777777" w:rsidR="00043D55" w:rsidRPr="002F3A88" w:rsidRDefault="00043D55" w:rsidP="003A22A1">
            <w:pPr>
              <w:pStyle w:val="Heading1"/>
              <w:rPr>
                <w:noProof/>
                <w:lang w:val="fr-CA"/>
              </w:rPr>
            </w:pPr>
          </w:p>
        </w:tc>
        <w:tc>
          <w:tcPr>
            <w:tcW w:w="2815" w:type="dxa"/>
            <w:vMerge/>
          </w:tcPr>
          <w:p w14:paraId="05D81F28" w14:textId="77777777" w:rsidR="00043D55" w:rsidRPr="002F3A88" w:rsidRDefault="00043D55" w:rsidP="00167B0E">
            <w:pPr>
              <w:spacing w:line="240" w:lineRule="auto"/>
              <w:rPr>
                <w:noProof/>
                <w:lang w:val="fr-CA"/>
              </w:rPr>
            </w:pPr>
          </w:p>
        </w:tc>
        <w:tc>
          <w:tcPr>
            <w:tcW w:w="648" w:type="dxa"/>
            <w:tcBorders>
              <w:top w:val="single" w:sz="4" w:space="0" w:color="7C2855"/>
              <w:left w:val="single" w:sz="4" w:space="0" w:color="7C2855"/>
              <w:bottom w:val="single" w:sz="4" w:space="0" w:color="7C2855"/>
            </w:tcBorders>
            <w:shd w:val="clear" w:color="auto" w:fill="DFE0DE"/>
          </w:tcPr>
          <w:p w14:paraId="4F2FE5A5" w14:textId="229E83FA" w:rsidR="00043D55" w:rsidRPr="002F3A88" w:rsidRDefault="00043D55" w:rsidP="003A22A1">
            <w:pPr>
              <w:pStyle w:val="Heading1"/>
              <w:rPr>
                <w:noProof/>
                <w:lang w:val="fr-CA"/>
              </w:rPr>
            </w:pPr>
            <w:r w:rsidRPr="002F3A88">
              <w:rPr>
                <w:noProof/>
                <w:lang w:val="fr-CA"/>
              </w:rPr>
              <w:t>4.2.2</w:t>
            </w:r>
          </w:p>
        </w:tc>
        <w:tc>
          <w:tcPr>
            <w:tcW w:w="2831" w:type="dxa"/>
            <w:tcBorders>
              <w:top w:val="single" w:sz="4" w:space="0" w:color="7C2855"/>
              <w:bottom w:val="single" w:sz="4" w:space="0" w:color="7C2855"/>
              <w:right w:val="single" w:sz="4" w:space="0" w:color="7C2855"/>
            </w:tcBorders>
            <w:shd w:val="clear" w:color="auto" w:fill="DFE0DE"/>
          </w:tcPr>
          <w:p w14:paraId="7B89D9E8" w14:textId="61605DA3" w:rsidR="00043D55" w:rsidRPr="002F3A88" w:rsidRDefault="00EC7284" w:rsidP="00A9489B">
            <w:pPr>
              <w:rPr>
                <w:noProof/>
                <w:lang w:val="fr-CA"/>
              </w:rPr>
            </w:pPr>
            <w:r w:rsidRPr="002F3A88">
              <w:rPr>
                <w:noProof/>
                <w:lang w:val="fr-CA"/>
              </w:rPr>
              <w:t>Les variations injustifiées dans les soins prodigués sont réduites au minimum.</w:t>
            </w:r>
          </w:p>
        </w:tc>
        <w:tc>
          <w:tcPr>
            <w:tcW w:w="2831" w:type="dxa"/>
            <w:tcBorders>
              <w:top w:val="single" w:sz="4" w:space="0" w:color="7C2855"/>
              <w:left w:val="single" w:sz="4" w:space="0" w:color="7C2855"/>
              <w:bottom w:val="single" w:sz="4" w:space="0" w:color="7C2855"/>
            </w:tcBorders>
            <w:shd w:val="clear" w:color="auto" w:fill="F2F2F2" w:themeFill="background1" w:themeFillShade="F2"/>
          </w:tcPr>
          <w:p w14:paraId="727999DB" w14:textId="77777777" w:rsidR="00043D55" w:rsidRPr="002F3A88" w:rsidRDefault="00043D55" w:rsidP="002A163F">
            <w:pPr>
              <w:rPr>
                <w:noProof/>
                <w:lang w:val="fr-CA"/>
              </w:rPr>
            </w:pPr>
          </w:p>
        </w:tc>
      </w:tr>
      <w:tr w:rsidR="00ED50CD" w:rsidRPr="00167B0E" w14:paraId="1CEF68E5" w14:textId="77777777" w:rsidTr="00C04D83">
        <w:trPr>
          <w:cantSplit/>
          <w:tblHeader/>
        </w:trPr>
        <w:tc>
          <w:tcPr>
            <w:tcW w:w="3786" w:type="dxa"/>
            <w:vMerge/>
          </w:tcPr>
          <w:p w14:paraId="1482ACC4" w14:textId="77777777" w:rsidR="00ED50CD" w:rsidRPr="002F3A88" w:rsidRDefault="00ED50CD" w:rsidP="00A9489B">
            <w:pPr>
              <w:rPr>
                <w:noProof/>
                <w:lang w:val="fr-CA"/>
              </w:rPr>
            </w:pPr>
          </w:p>
        </w:tc>
        <w:tc>
          <w:tcPr>
            <w:tcW w:w="566" w:type="dxa"/>
            <w:vMerge w:val="restart"/>
            <w:tcBorders>
              <w:top w:val="single" w:sz="4" w:space="0" w:color="7C2855"/>
            </w:tcBorders>
            <w:shd w:val="clear" w:color="auto" w:fill="DFE0DE"/>
          </w:tcPr>
          <w:p w14:paraId="742A8BE7" w14:textId="607FD4DE" w:rsidR="00ED50CD" w:rsidRPr="002F3A88" w:rsidRDefault="00ED50CD" w:rsidP="008D32DC">
            <w:pPr>
              <w:pStyle w:val="Heading-RowA"/>
            </w:pPr>
            <w:r w:rsidRPr="002F3A88">
              <w:t>4.3</w:t>
            </w:r>
            <w:r w:rsidRPr="002F3A88">
              <w:rPr>
                <w:sz w:val="16"/>
                <w:szCs w:val="16"/>
              </w:rPr>
              <w:t xml:space="preserve"> </w:t>
            </w:r>
          </w:p>
        </w:tc>
        <w:tc>
          <w:tcPr>
            <w:tcW w:w="2815" w:type="dxa"/>
            <w:vMerge w:val="restart"/>
            <w:tcBorders>
              <w:top w:val="single" w:sz="4" w:space="0" w:color="7C2855"/>
              <w:right w:val="single" w:sz="4" w:space="0" w:color="7C2855"/>
            </w:tcBorders>
            <w:shd w:val="clear" w:color="auto" w:fill="DFE0DE"/>
          </w:tcPr>
          <w:p w14:paraId="0EA755B7" w14:textId="77777777" w:rsidR="005501C9" w:rsidRPr="008D32DC" w:rsidRDefault="005501C9" w:rsidP="00167B0E">
            <w:pPr>
              <w:pStyle w:val="Heading-RowA"/>
              <w:spacing w:line="240" w:lineRule="auto"/>
              <w:ind w:left="0" w:firstLine="0"/>
              <w:rPr>
                <w:b w:val="0"/>
                <w:bCs/>
                <w:color w:val="404041"/>
              </w:rPr>
            </w:pPr>
            <w:r w:rsidRPr="008D32DC">
              <w:rPr>
                <w:b w:val="0"/>
                <w:bCs/>
                <w:color w:val="404041"/>
              </w:rPr>
              <w:t>Les technologies et traitements émergents sont systématiquement évalués et intégrés aux services de santé.</w:t>
            </w:r>
          </w:p>
          <w:p w14:paraId="44900D3F" w14:textId="77777777" w:rsidR="005501C9" w:rsidRPr="008D32DC" w:rsidRDefault="005501C9" w:rsidP="00167B0E">
            <w:pPr>
              <w:pStyle w:val="Heading-RowA"/>
              <w:spacing w:line="240" w:lineRule="auto"/>
              <w:ind w:left="0" w:firstLine="0"/>
              <w:rPr>
                <w:b w:val="0"/>
                <w:bCs/>
                <w:color w:val="D41B5A"/>
              </w:rPr>
            </w:pPr>
            <w:r w:rsidRPr="008D32DC">
              <w:rPr>
                <w:b w:val="0"/>
                <w:bCs/>
                <w:color w:val="D41B5A"/>
              </w:rPr>
              <w:t>Indicateur : Pour répondre aux besoins des patients, la mise en œuvre d’innovations en services de santé doit inclure la gestion des risques, la formation et l’évaluation</w:t>
            </w:r>
          </w:p>
          <w:p w14:paraId="6039BB9C" w14:textId="3F59FE81" w:rsidR="004F7937" w:rsidRPr="002F3A88" w:rsidRDefault="004F7937" w:rsidP="00167B0E">
            <w:pPr>
              <w:pStyle w:val="Heading-RowA"/>
              <w:spacing w:line="240" w:lineRule="auto"/>
            </w:pPr>
          </w:p>
        </w:tc>
        <w:tc>
          <w:tcPr>
            <w:tcW w:w="648" w:type="dxa"/>
            <w:tcBorders>
              <w:top w:val="single" w:sz="4" w:space="0" w:color="7C2855"/>
              <w:left w:val="single" w:sz="4" w:space="0" w:color="7C2855"/>
              <w:bottom w:val="single" w:sz="4" w:space="0" w:color="7C2855"/>
            </w:tcBorders>
            <w:shd w:val="clear" w:color="auto" w:fill="DFE0DE"/>
          </w:tcPr>
          <w:p w14:paraId="21DF3D5E" w14:textId="0D2FDE5E" w:rsidR="00ED50CD" w:rsidRPr="002F3A88" w:rsidRDefault="00ED50CD" w:rsidP="003A22A1">
            <w:pPr>
              <w:pStyle w:val="Heading1"/>
              <w:rPr>
                <w:noProof/>
                <w:lang w:val="fr-CA"/>
              </w:rPr>
            </w:pPr>
            <w:r w:rsidRPr="002F3A88">
              <w:rPr>
                <w:noProof/>
                <w:lang w:val="fr-CA"/>
              </w:rPr>
              <w:t>4.3.1</w:t>
            </w:r>
          </w:p>
        </w:tc>
        <w:tc>
          <w:tcPr>
            <w:tcW w:w="2831" w:type="dxa"/>
            <w:tcBorders>
              <w:top w:val="single" w:sz="4" w:space="0" w:color="7C2855"/>
              <w:bottom w:val="single" w:sz="4" w:space="0" w:color="7C2855"/>
              <w:right w:val="single" w:sz="4" w:space="0" w:color="7C2855"/>
            </w:tcBorders>
            <w:shd w:val="clear" w:color="auto" w:fill="DFE0DE"/>
          </w:tcPr>
          <w:p w14:paraId="0C4215FE" w14:textId="0FF2DE48" w:rsidR="00ED50CD" w:rsidRPr="002F3A88" w:rsidRDefault="00C04D83" w:rsidP="00A9489B">
            <w:pPr>
              <w:rPr>
                <w:noProof/>
                <w:lang w:val="fr-CA"/>
              </w:rPr>
            </w:pPr>
            <w:r w:rsidRPr="002F3A88">
              <w:rPr>
                <w:noProof/>
                <w:lang w:val="fr-CA"/>
              </w:rPr>
              <w:t>Les traitements, technologies, appareils médicaux et l’équipement sont évalués et un suivi est fait pour en vérifier l’utilisation.</w:t>
            </w:r>
            <w:r w:rsidRPr="002F3A88">
              <w:rPr>
                <w:noProof/>
                <w:lang w:val="fr-CA"/>
              </w:rPr>
              <w:br/>
            </w:r>
          </w:p>
        </w:tc>
        <w:tc>
          <w:tcPr>
            <w:tcW w:w="2831" w:type="dxa"/>
            <w:tcBorders>
              <w:top w:val="single" w:sz="4" w:space="0" w:color="7C2855"/>
              <w:left w:val="single" w:sz="4" w:space="0" w:color="7C2855"/>
              <w:bottom w:val="single" w:sz="4" w:space="0" w:color="7C2855"/>
            </w:tcBorders>
            <w:shd w:val="clear" w:color="auto" w:fill="F2F2F2" w:themeFill="background1" w:themeFillShade="F2"/>
          </w:tcPr>
          <w:p w14:paraId="5E5278C1" w14:textId="77777777" w:rsidR="00ED50CD" w:rsidRPr="002F3A88" w:rsidRDefault="00ED50CD" w:rsidP="002A163F">
            <w:pPr>
              <w:rPr>
                <w:noProof/>
                <w:lang w:val="fr-CA"/>
              </w:rPr>
            </w:pPr>
          </w:p>
        </w:tc>
      </w:tr>
      <w:tr w:rsidR="00ED50CD" w:rsidRPr="00167B0E" w14:paraId="7481CD31" w14:textId="77777777" w:rsidTr="00C04D83">
        <w:trPr>
          <w:cantSplit/>
          <w:tblHeader/>
        </w:trPr>
        <w:tc>
          <w:tcPr>
            <w:tcW w:w="3786" w:type="dxa"/>
            <w:vMerge/>
          </w:tcPr>
          <w:p w14:paraId="2797D86F" w14:textId="77777777" w:rsidR="00ED50CD" w:rsidRPr="002F3A88" w:rsidRDefault="00ED50CD" w:rsidP="00A9489B">
            <w:pPr>
              <w:rPr>
                <w:noProof/>
                <w:lang w:val="fr-CA"/>
              </w:rPr>
            </w:pPr>
          </w:p>
        </w:tc>
        <w:tc>
          <w:tcPr>
            <w:tcW w:w="566" w:type="dxa"/>
            <w:vMerge/>
          </w:tcPr>
          <w:p w14:paraId="0756D97E" w14:textId="77777777" w:rsidR="00ED50CD" w:rsidRPr="002F3A88" w:rsidRDefault="00ED50CD" w:rsidP="00A9489B">
            <w:pPr>
              <w:rPr>
                <w:noProof/>
                <w:lang w:val="fr-CA"/>
              </w:rPr>
            </w:pPr>
          </w:p>
        </w:tc>
        <w:tc>
          <w:tcPr>
            <w:tcW w:w="2815" w:type="dxa"/>
            <w:vMerge/>
          </w:tcPr>
          <w:p w14:paraId="29E26EF9" w14:textId="77777777" w:rsidR="00ED50CD" w:rsidRPr="002F3A88" w:rsidRDefault="00ED50CD" w:rsidP="00A9489B">
            <w:pPr>
              <w:rPr>
                <w:noProof/>
                <w:lang w:val="fr-CA"/>
              </w:rPr>
            </w:pPr>
          </w:p>
        </w:tc>
        <w:tc>
          <w:tcPr>
            <w:tcW w:w="648" w:type="dxa"/>
            <w:tcBorders>
              <w:top w:val="single" w:sz="4" w:space="0" w:color="7C2855"/>
              <w:left w:val="single" w:sz="4" w:space="0" w:color="7C2855"/>
            </w:tcBorders>
            <w:shd w:val="clear" w:color="auto" w:fill="DFE0DE"/>
          </w:tcPr>
          <w:p w14:paraId="6EC802C6" w14:textId="4361A594" w:rsidR="00ED50CD" w:rsidRPr="002F3A88" w:rsidRDefault="00ED50CD" w:rsidP="003A22A1">
            <w:pPr>
              <w:pStyle w:val="Heading1"/>
              <w:rPr>
                <w:noProof/>
                <w:lang w:val="fr-CA"/>
              </w:rPr>
            </w:pPr>
            <w:r w:rsidRPr="002F3A88">
              <w:rPr>
                <w:noProof/>
                <w:lang w:val="fr-CA"/>
              </w:rPr>
              <w:t>4.3.2</w:t>
            </w:r>
          </w:p>
        </w:tc>
        <w:tc>
          <w:tcPr>
            <w:tcW w:w="2831" w:type="dxa"/>
            <w:tcBorders>
              <w:top w:val="single" w:sz="4" w:space="0" w:color="7C2855"/>
              <w:right w:val="single" w:sz="4" w:space="0" w:color="7C2855"/>
            </w:tcBorders>
            <w:shd w:val="clear" w:color="auto" w:fill="DFE0DE"/>
          </w:tcPr>
          <w:p w14:paraId="0A1F483D" w14:textId="63ACF120" w:rsidR="00ED50CD" w:rsidRPr="002F3A88" w:rsidRDefault="00C04D83" w:rsidP="00A9489B">
            <w:pPr>
              <w:rPr>
                <w:noProof/>
                <w:lang w:val="fr-CA"/>
              </w:rPr>
            </w:pPr>
            <w:r w:rsidRPr="002F3A88">
              <w:rPr>
                <w:noProof/>
                <w:lang w:val="fr-CA"/>
              </w:rPr>
              <w:t>Les équipes de santé sont prêtes à utiliser efficacement de nouveaux traitements et de nouvelles technologies.</w:t>
            </w:r>
          </w:p>
        </w:tc>
        <w:tc>
          <w:tcPr>
            <w:tcW w:w="2831" w:type="dxa"/>
            <w:tcBorders>
              <w:top w:val="single" w:sz="4" w:space="0" w:color="7C2855"/>
              <w:left w:val="single" w:sz="4" w:space="0" w:color="7C2855"/>
            </w:tcBorders>
            <w:shd w:val="clear" w:color="auto" w:fill="F2F2F2" w:themeFill="background1" w:themeFillShade="F2"/>
          </w:tcPr>
          <w:p w14:paraId="6D230B9F" w14:textId="77777777" w:rsidR="00ED50CD" w:rsidRPr="002F3A88" w:rsidRDefault="00ED50CD" w:rsidP="002A163F">
            <w:pPr>
              <w:rPr>
                <w:noProof/>
                <w:lang w:val="fr-CA"/>
              </w:rPr>
            </w:pPr>
          </w:p>
        </w:tc>
      </w:tr>
    </w:tbl>
    <w:p w14:paraId="5E18DD00" w14:textId="77777777" w:rsidR="002A18D4" w:rsidRPr="002F3A88" w:rsidRDefault="002A18D4" w:rsidP="00A9489B">
      <w:pPr>
        <w:rPr>
          <w:noProof/>
          <w:lang w:val="fr-CA"/>
        </w:rPr>
      </w:pPr>
      <w:r w:rsidRPr="002F3A88">
        <w:rPr>
          <w:noProof/>
          <w:lang w:val="fr-CA"/>
        </w:rPr>
        <w:br w:type="page"/>
      </w:r>
    </w:p>
    <w:tbl>
      <w:tblPr>
        <w:tblStyle w:val="TableGrid"/>
        <w:tblW w:w="13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566"/>
        <w:gridCol w:w="2818"/>
        <w:gridCol w:w="638"/>
        <w:gridCol w:w="2832"/>
        <w:gridCol w:w="2831"/>
      </w:tblGrid>
      <w:tr w:rsidR="002402EC" w:rsidRPr="002F3A88" w14:paraId="416C17AE" w14:textId="77777777" w:rsidTr="00C04D83">
        <w:trPr>
          <w:cantSplit/>
          <w:tblHeader/>
        </w:trPr>
        <w:tc>
          <w:tcPr>
            <w:tcW w:w="3778" w:type="dxa"/>
          </w:tcPr>
          <w:p w14:paraId="0CB51FE4" w14:textId="07836741" w:rsidR="002A18D4" w:rsidRPr="002F3A88" w:rsidRDefault="002A18D4" w:rsidP="00A9489B">
            <w:pPr>
              <w:rPr>
                <w:noProof/>
                <w:lang w:val="fr-CA"/>
              </w:rPr>
            </w:pPr>
          </w:p>
        </w:tc>
        <w:tc>
          <w:tcPr>
            <w:tcW w:w="566" w:type="dxa"/>
            <w:tcBorders>
              <w:bottom w:val="single" w:sz="18" w:space="0" w:color="7C2855"/>
            </w:tcBorders>
          </w:tcPr>
          <w:p w14:paraId="1B952B59" w14:textId="0B1A9AA8" w:rsidR="002A18D4" w:rsidRPr="002F3A88" w:rsidRDefault="002A163F" w:rsidP="00A9489B">
            <w:pPr>
              <w:rPr>
                <w:noProof/>
                <w:lang w:val="fr-CA"/>
              </w:rPr>
            </w:pPr>
            <w:r w:rsidRPr="002F3A88">
              <w:rPr>
                <w:noProof/>
                <w:lang w:val="fr-CA"/>
              </w:rPr>
              <w:t xml:space="preserve">            </w:t>
            </w:r>
          </w:p>
        </w:tc>
        <w:tc>
          <w:tcPr>
            <w:tcW w:w="2818" w:type="dxa"/>
            <w:tcBorders>
              <w:bottom w:val="single" w:sz="18" w:space="0" w:color="7C2855"/>
            </w:tcBorders>
          </w:tcPr>
          <w:p w14:paraId="44ACADAE" w14:textId="7E64011F" w:rsidR="002A18D4" w:rsidRPr="002F3A88" w:rsidRDefault="00C04D83" w:rsidP="008D32DC">
            <w:pPr>
              <w:pStyle w:val="Heading-ColumnA"/>
            </w:pPr>
            <w:r w:rsidRPr="002F3A88">
              <w:t>Buts</w:t>
            </w:r>
          </w:p>
        </w:tc>
        <w:tc>
          <w:tcPr>
            <w:tcW w:w="638" w:type="dxa"/>
            <w:tcBorders>
              <w:bottom w:val="single" w:sz="18" w:space="0" w:color="7C2855"/>
            </w:tcBorders>
          </w:tcPr>
          <w:p w14:paraId="2F8FB677" w14:textId="77777777" w:rsidR="002A18D4" w:rsidRPr="002F3A88" w:rsidRDefault="002A18D4" w:rsidP="00A9489B">
            <w:pPr>
              <w:pStyle w:val="Heading2"/>
              <w:rPr>
                <w:rFonts w:asciiTheme="minorHAnsi" w:hAnsiTheme="minorHAnsi" w:cstheme="minorHAnsi"/>
                <w:b/>
                <w:bCs/>
                <w:noProof/>
                <w:lang w:val="fr-CA"/>
              </w:rPr>
            </w:pPr>
          </w:p>
        </w:tc>
        <w:tc>
          <w:tcPr>
            <w:tcW w:w="2832" w:type="dxa"/>
            <w:tcBorders>
              <w:bottom w:val="single" w:sz="18" w:space="0" w:color="7C2855"/>
            </w:tcBorders>
          </w:tcPr>
          <w:p w14:paraId="3757CD4C" w14:textId="5FFC78E7" w:rsidR="002A18D4" w:rsidRPr="002F3A88" w:rsidRDefault="00C04D83" w:rsidP="008D32DC">
            <w:pPr>
              <w:pStyle w:val="Heading-ColumnA"/>
            </w:pPr>
            <w:r w:rsidRPr="002F3A88">
              <w:t>Résultat</w:t>
            </w:r>
          </w:p>
        </w:tc>
        <w:tc>
          <w:tcPr>
            <w:tcW w:w="2831" w:type="dxa"/>
            <w:tcBorders>
              <w:bottom w:val="single" w:sz="18" w:space="0" w:color="7C2855"/>
            </w:tcBorders>
          </w:tcPr>
          <w:p w14:paraId="3E6B9CD3" w14:textId="28E51946" w:rsidR="002A18D4" w:rsidRPr="002F3A88" w:rsidRDefault="00D84E53" w:rsidP="008D32DC">
            <w:pPr>
              <w:pStyle w:val="Heading-ColumnA"/>
            </w:pPr>
            <w:r w:rsidRPr="00BA78A3">
              <w:t>Vos</w:t>
            </w:r>
            <w:r w:rsidR="00655A5E" w:rsidRPr="00BA78A3">
              <w:t xml:space="preserve"> </w:t>
            </w:r>
            <w:r w:rsidRPr="00BA78A3">
              <w:t>i</w:t>
            </w:r>
            <w:r w:rsidR="002A18D4" w:rsidRPr="00BA78A3">
              <w:t>nitiatives</w:t>
            </w:r>
          </w:p>
        </w:tc>
      </w:tr>
      <w:tr w:rsidR="002402EC" w:rsidRPr="00167B0E" w14:paraId="0E650E0E" w14:textId="77777777" w:rsidTr="00C04D83">
        <w:trPr>
          <w:cantSplit/>
          <w:tblHeader/>
        </w:trPr>
        <w:tc>
          <w:tcPr>
            <w:tcW w:w="3778" w:type="dxa"/>
            <w:vMerge w:val="restart"/>
          </w:tcPr>
          <w:p w14:paraId="6AD53D8F" w14:textId="6EEC51B7" w:rsidR="00527CC9" w:rsidRPr="002F3A88" w:rsidRDefault="00610CB1" w:rsidP="00A9489B">
            <w:pPr>
              <w:rPr>
                <w:noProof/>
                <w:lang w:val="fr-CA"/>
              </w:rPr>
            </w:pPr>
            <w:r>
              <w:rPr>
                <w:noProof/>
                <w:lang w:val="fr-CA"/>
              </w:rPr>
              <mc:AlternateContent>
                <mc:Choice Requires="wps">
                  <w:drawing>
                    <wp:inline distT="0" distB="0" distL="0" distR="0" wp14:anchorId="7B07C9A5" wp14:editId="4F68D8B6">
                      <wp:extent cx="60385" cy="60385"/>
                      <wp:effectExtent l="38100" t="0" r="53975" b="0"/>
                      <wp:docPr id="2089758367" name="Rectangle 9" descr="Image mettant en évidence l’Objectif 5 – Soins intégrés, que les services de santé sont continus et bien coordonnés, favorisant des transitions fluides."/>
                      <wp:cNvGraphicFramePr/>
                      <a:graphic xmlns:a="http://schemas.openxmlformats.org/drawingml/2006/main">
                        <a:graphicData uri="http://schemas.microsoft.com/office/word/2010/wordprocessingShape">
                          <wps:wsp>
                            <wps:cNvSpPr/>
                            <wps:spPr>
                              <a:xfrm>
                                <a:off x="0" y="0"/>
                                <a:ext cx="60385" cy="60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EAD0D" id="Rectangle 9" o:spid="_x0000_s1026" alt="Image mettant en évidence l’Objectif 5 – Soins intégrés, que les services de santé sont continus et bien coordonnés, favorisant des transitions fluides." style="width:4.75pt;height: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" filled="f" stroked="f" strokeweight="1pt">
                      <w10:anchorlock/>
                    </v:rect>
                  </w:pict>
                </mc:Fallback>
              </mc:AlternateContent>
            </w:r>
            <w:r w:rsidR="009033CD" w:rsidRPr="002F3A88">
              <w:rPr>
                <w:noProof/>
                <w:lang w:val="fr-CA"/>
              </w:rPr>
              <w:drawing>
                <wp:anchor distT="0" distB="0" distL="114300" distR="114300" simplePos="0" relativeHeight="251658243" behindDoc="0" locked="0" layoutInCell="1" allowOverlap="1" wp14:anchorId="6313699F" wp14:editId="3B2C35B7">
                  <wp:simplePos x="0" y="0"/>
                  <wp:positionH relativeFrom="column">
                    <wp:posOffset>168365</wp:posOffset>
                  </wp:positionH>
                  <wp:positionV relativeFrom="paragraph">
                    <wp:posOffset>-110593</wp:posOffset>
                  </wp:positionV>
                  <wp:extent cx="2264410" cy="2719705"/>
                  <wp:effectExtent l="0" t="0" r="0"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4410" cy="2719705"/>
                          </a:xfrm>
                          <a:prstGeom prst="rect">
                            <a:avLst/>
                          </a:prstGeom>
                        </pic:spPr>
                      </pic:pic>
                    </a:graphicData>
                  </a:graphic>
                  <wp14:sizeRelV relativeFrom="margin">
                    <wp14:pctHeight>0</wp14:pctHeight>
                  </wp14:sizeRelV>
                </wp:anchor>
              </w:drawing>
            </w:r>
          </w:p>
        </w:tc>
        <w:tc>
          <w:tcPr>
            <w:tcW w:w="566" w:type="dxa"/>
            <w:vMerge w:val="restart"/>
            <w:tcBorders>
              <w:top w:val="single" w:sz="18" w:space="0" w:color="7C2855"/>
            </w:tcBorders>
            <w:shd w:val="clear" w:color="auto" w:fill="DFE0DE"/>
          </w:tcPr>
          <w:p w14:paraId="11A77E81" w14:textId="37ADC210" w:rsidR="00527CC9" w:rsidRPr="002F3A88" w:rsidRDefault="00527CC9" w:rsidP="00F16620">
            <w:pPr>
              <w:pStyle w:val="Heading-RowA"/>
            </w:pPr>
            <w:r w:rsidRPr="002F3A88">
              <w:t>5.1</w:t>
            </w:r>
            <w:r w:rsidRPr="002F3A88">
              <w:rPr>
                <w:sz w:val="16"/>
                <w:szCs w:val="16"/>
              </w:rPr>
              <w:t xml:space="preserve"> </w:t>
            </w:r>
          </w:p>
        </w:tc>
        <w:tc>
          <w:tcPr>
            <w:tcW w:w="2818" w:type="dxa"/>
            <w:vMerge w:val="restart"/>
            <w:tcBorders>
              <w:top w:val="single" w:sz="18" w:space="0" w:color="7C2855"/>
              <w:right w:val="single" w:sz="4" w:space="0" w:color="7C2855"/>
            </w:tcBorders>
            <w:shd w:val="clear" w:color="auto" w:fill="DFE0DE"/>
          </w:tcPr>
          <w:p w14:paraId="544A663E" w14:textId="77777777" w:rsidR="00100349" w:rsidRPr="00F16620" w:rsidRDefault="00100349" w:rsidP="00F16620">
            <w:pPr>
              <w:pStyle w:val="Heading-RowA"/>
              <w:spacing w:line="240" w:lineRule="auto"/>
              <w:ind w:left="0" w:firstLine="0"/>
              <w:rPr>
                <w:b w:val="0"/>
                <w:bCs/>
                <w:color w:val="404041"/>
              </w:rPr>
            </w:pPr>
            <w:r w:rsidRPr="00F16620">
              <w:rPr>
                <w:b w:val="0"/>
                <w:bCs/>
                <w:color w:val="404041"/>
              </w:rPr>
              <w:t>Les patients connaissent des transitions fluides entre les services de santé.</w:t>
            </w:r>
          </w:p>
          <w:p w14:paraId="3DA2AF35" w14:textId="45414458" w:rsidR="00527CC9" w:rsidRPr="002F3A88" w:rsidRDefault="00100349" w:rsidP="00F16620">
            <w:pPr>
              <w:pStyle w:val="Heading-RowA"/>
              <w:spacing w:line="240" w:lineRule="auto"/>
              <w:ind w:left="0" w:firstLine="0"/>
            </w:pPr>
            <w:r w:rsidRPr="00F16620">
              <w:rPr>
                <w:b w:val="0"/>
                <w:bCs/>
                <w:color w:val="D41B5A"/>
              </w:rPr>
              <w:t>Indicateur : Communication entre prestataires de soins primaires et spécialistes</w:t>
            </w:r>
          </w:p>
        </w:tc>
        <w:tc>
          <w:tcPr>
            <w:tcW w:w="638" w:type="dxa"/>
            <w:tcBorders>
              <w:top w:val="single" w:sz="18" w:space="0" w:color="7C2855"/>
              <w:left w:val="single" w:sz="4" w:space="0" w:color="7C2855"/>
              <w:bottom w:val="single" w:sz="4" w:space="0" w:color="7C2855"/>
            </w:tcBorders>
            <w:shd w:val="clear" w:color="auto" w:fill="DFE0DE"/>
          </w:tcPr>
          <w:p w14:paraId="2528686F" w14:textId="4EC5A0CD" w:rsidR="00527CC9" w:rsidRPr="002F3A88" w:rsidRDefault="00527CC9" w:rsidP="003A22A1">
            <w:pPr>
              <w:pStyle w:val="Heading1"/>
              <w:rPr>
                <w:noProof/>
                <w:lang w:val="fr-CA"/>
              </w:rPr>
            </w:pPr>
            <w:r w:rsidRPr="002F3A88">
              <w:rPr>
                <w:noProof/>
                <w:lang w:val="fr-CA"/>
              </w:rPr>
              <w:t>5.1.1</w:t>
            </w:r>
          </w:p>
        </w:tc>
        <w:tc>
          <w:tcPr>
            <w:tcW w:w="2832" w:type="dxa"/>
            <w:tcBorders>
              <w:top w:val="single" w:sz="18" w:space="0" w:color="7C2855"/>
              <w:bottom w:val="single" w:sz="4" w:space="0" w:color="7C2855"/>
              <w:right w:val="single" w:sz="4" w:space="0" w:color="7C2855"/>
            </w:tcBorders>
            <w:shd w:val="clear" w:color="auto" w:fill="DFE0DE"/>
          </w:tcPr>
          <w:p w14:paraId="1A3B3E8C" w14:textId="049843C0" w:rsidR="00527CC9" w:rsidRPr="002F3A88" w:rsidRDefault="00100349" w:rsidP="00A9489B">
            <w:pPr>
              <w:rPr>
                <w:noProof/>
                <w:lang w:val="fr-CA"/>
              </w:rPr>
            </w:pPr>
            <w:r w:rsidRPr="002F3A88">
              <w:rPr>
                <w:noProof/>
                <w:lang w:val="fr-CA"/>
              </w:rPr>
              <w:t>L’infrastructure et la responsabilisation pour les transitions entre les soins sont en place.</w:t>
            </w:r>
            <w:r w:rsidRPr="002F3A88">
              <w:rPr>
                <w:noProof/>
                <w:lang w:val="fr-CA"/>
              </w:rPr>
              <w:br/>
            </w:r>
          </w:p>
        </w:tc>
        <w:tc>
          <w:tcPr>
            <w:tcW w:w="2831" w:type="dxa"/>
            <w:tcBorders>
              <w:top w:val="single" w:sz="18" w:space="0" w:color="7C2855"/>
              <w:left w:val="single" w:sz="4" w:space="0" w:color="7C2855"/>
              <w:bottom w:val="single" w:sz="4" w:space="0" w:color="7C2855"/>
            </w:tcBorders>
            <w:shd w:val="clear" w:color="auto" w:fill="F2F2F2" w:themeFill="background1" w:themeFillShade="F2"/>
          </w:tcPr>
          <w:p w14:paraId="6DDB3AA0" w14:textId="4A3D290A" w:rsidR="00527CC9" w:rsidRPr="002F3A88" w:rsidRDefault="002A163F" w:rsidP="002A163F">
            <w:pPr>
              <w:rPr>
                <w:noProof/>
                <w:lang w:val="fr-CA"/>
              </w:rPr>
            </w:pPr>
            <w:r w:rsidRPr="002F3A88">
              <w:rPr>
                <w:noProof/>
                <w:lang w:val="fr-CA"/>
              </w:rPr>
              <w:t xml:space="preserve"> </w:t>
            </w:r>
          </w:p>
        </w:tc>
      </w:tr>
      <w:tr w:rsidR="002402EC" w:rsidRPr="00167B0E" w14:paraId="004B3BD2" w14:textId="77777777" w:rsidTr="00C04D83">
        <w:trPr>
          <w:cantSplit/>
          <w:tblHeader/>
        </w:trPr>
        <w:tc>
          <w:tcPr>
            <w:tcW w:w="3778" w:type="dxa"/>
            <w:vMerge/>
          </w:tcPr>
          <w:p w14:paraId="55D8E15D" w14:textId="77777777" w:rsidR="00527CC9" w:rsidRPr="002F3A88" w:rsidRDefault="00527CC9" w:rsidP="00A9489B">
            <w:pPr>
              <w:rPr>
                <w:noProof/>
                <w:lang w:val="fr-CA"/>
              </w:rPr>
            </w:pPr>
          </w:p>
        </w:tc>
        <w:tc>
          <w:tcPr>
            <w:tcW w:w="566" w:type="dxa"/>
            <w:vMerge/>
          </w:tcPr>
          <w:p w14:paraId="7C4A820D" w14:textId="51516CD6" w:rsidR="00527CC9" w:rsidRPr="002F3A88" w:rsidRDefault="00527CC9" w:rsidP="003A22A1">
            <w:pPr>
              <w:pStyle w:val="Heading1"/>
              <w:rPr>
                <w:noProof/>
                <w:lang w:val="fr-CA"/>
              </w:rPr>
            </w:pPr>
          </w:p>
        </w:tc>
        <w:tc>
          <w:tcPr>
            <w:tcW w:w="2818" w:type="dxa"/>
            <w:vMerge/>
          </w:tcPr>
          <w:p w14:paraId="3C55253E" w14:textId="69C8A43B" w:rsidR="00527CC9" w:rsidRPr="002F3A88" w:rsidRDefault="00527CC9" w:rsidP="00A9489B">
            <w:pPr>
              <w:rPr>
                <w:noProof/>
                <w:lang w:val="fr-CA"/>
              </w:rPr>
            </w:pPr>
          </w:p>
        </w:tc>
        <w:tc>
          <w:tcPr>
            <w:tcW w:w="638" w:type="dxa"/>
            <w:tcBorders>
              <w:top w:val="single" w:sz="4" w:space="0" w:color="7C2855"/>
              <w:left w:val="single" w:sz="4" w:space="0" w:color="7C2855"/>
              <w:bottom w:val="single" w:sz="4" w:space="0" w:color="7C2855"/>
            </w:tcBorders>
            <w:shd w:val="clear" w:color="auto" w:fill="DFE0DE"/>
          </w:tcPr>
          <w:p w14:paraId="2982A03B" w14:textId="1222B5E4" w:rsidR="00527CC9" w:rsidRPr="002F3A88" w:rsidRDefault="00527CC9" w:rsidP="003A22A1">
            <w:pPr>
              <w:pStyle w:val="Heading1"/>
              <w:rPr>
                <w:noProof/>
                <w:lang w:val="fr-CA"/>
              </w:rPr>
            </w:pPr>
            <w:r w:rsidRPr="002F3A88">
              <w:rPr>
                <w:noProof/>
                <w:lang w:val="fr-CA"/>
              </w:rPr>
              <w:t>5.1.2</w:t>
            </w:r>
          </w:p>
        </w:tc>
        <w:tc>
          <w:tcPr>
            <w:tcW w:w="2832" w:type="dxa"/>
            <w:tcBorders>
              <w:top w:val="single" w:sz="4" w:space="0" w:color="7C2855"/>
              <w:bottom w:val="single" w:sz="4" w:space="0" w:color="7C2855"/>
              <w:right w:val="single" w:sz="4" w:space="0" w:color="7C2855"/>
            </w:tcBorders>
            <w:shd w:val="clear" w:color="auto" w:fill="DFE0DE"/>
          </w:tcPr>
          <w:p w14:paraId="1349AFB5" w14:textId="6AD0635D" w:rsidR="00527CC9" w:rsidRPr="002F3A88" w:rsidRDefault="00E31D5B" w:rsidP="00A9489B">
            <w:pPr>
              <w:rPr>
                <w:noProof/>
                <w:lang w:val="fr-CA"/>
              </w:rPr>
            </w:pPr>
            <w:r w:rsidRPr="002F3A88">
              <w:rPr>
                <w:noProof/>
                <w:lang w:val="fr-CA"/>
              </w:rPr>
              <w:t>Les prestataires coordonnent les soins entre les services de santé.</w:t>
            </w:r>
            <w:r w:rsidRPr="002F3A88">
              <w:rPr>
                <w:noProof/>
                <w:lang w:val="fr-CA"/>
              </w:rPr>
              <w:br/>
            </w:r>
          </w:p>
        </w:tc>
        <w:tc>
          <w:tcPr>
            <w:tcW w:w="2831" w:type="dxa"/>
            <w:tcBorders>
              <w:top w:val="single" w:sz="4" w:space="0" w:color="7C2855"/>
              <w:left w:val="single" w:sz="4" w:space="0" w:color="7C2855"/>
              <w:bottom w:val="single" w:sz="4" w:space="0" w:color="7C2855"/>
            </w:tcBorders>
            <w:shd w:val="clear" w:color="auto" w:fill="F2F2F2" w:themeFill="background1" w:themeFillShade="F2"/>
          </w:tcPr>
          <w:p w14:paraId="0CE6760B" w14:textId="098793F6" w:rsidR="00527CC9" w:rsidRPr="002F3A88" w:rsidRDefault="00527CC9" w:rsidP="002A163F">
            <w:pPr>
              <w:rPr>
                <w:noProof/>
                <w:lang w:val="fr-CA"/>
              </w:rPr>
            </w:pPr>
          </w:p>
        </w:tc>
      </w:tr>
      <w:tr w:rsidR="002402EC" w:rsidRPr="00167B0E" w14:paraId="2DE8C5B8" w14:textId="77777777" w:rsidTr="00C04D83">
        <w:trPr>
          <w:cantSplit/>
          <w:tblHeader/>
        </w:trPr>
        <w:tc>
          <w:tcPr>
            <w:tcW w:w="3778" w:type="dxa"/>
            <w:vMerge/>
          </w:tcPr>
          <w:p w14:paraId="6142A720" w14:textId="77777777" w:rsidR="00527CC9" w:rsidRPr="002F3A88" w:rsidRDefault="00527CC9" w:rsidP="00A9489B">
            <w:pPr>
              <w:rPr>
                <w:noProof/>
                <w:lang w:val="fr-CA"/>
              </w:rPr>
            </w:pPr>
          </w:p>
        </w:tc>
        <w:tc>
          <w:tcPr>
            <w:tcW w:w="566" w:type="dxa"/>
            <w:vMerge w:val="restart"/>
            <w:tcBorders>
              <w:top w:val="single" w:sz="4" w:space="0" w:color="7C2855"/>
            </w:tcBorders>
            <w:shd w:val="clear" w:color="auto" w:fill="DFE0DE"/>
          </w:tcPr>
          <w:p w14:paraId="55126D89" w14:textId="1FFAAFB0" w:rsidR="00527CC9" w:rsidRPr="002F3A88" w:rsidRDefault="00527CC9" w:rsidP="00F16620">
            <w:pPr>
              <w:pStyle w:val="Heading-RowA"/>
            </w:pPr>
            <w:r w:rsidRPr="002F3A88">
              <w:t>5.2</w:t>
            </w:r>
            <w:r w:rsidRPr="002F3A88">
              <w:rPr>
                <w:sz w:val="16"/>
                <w:szCs w:val="16"/>
              </w:rPr>
              <w:t xml:space="preserve"> </w:t>
            </w:r>
          </w:p>
        </w:tc>
        <w:tc>
          <w:tcPr>
            <w:tcW w:w="2818" w:type="dxa"/>
            <w:vMerge w:val="restart"/>
            <w:tcBorders>
              <w:top w:val="single" w:sz="4" w:space="0" w:color="7C2855"/>
              <w:right w:val="single" w:sz="4" w:space="0" w:color="7C2855"/>
            </w:tcBorders>
            <w:shd w:val="clear" w:color="auto" w:fill="DFE0DE"/>
          </w:tcPr>
          <w:p w14:paraId="694C3087" w14:textId="2ADC4326" w:rsidR="00100349" w:rsidRPr="00F16620" w:rsidRDefault="00100349" w:rsidP="00F16620">
            <w:pPr>
              <w:pStyle w:val="Heading-RowA"/>
              <w:spacing w:line="240" w:lineRule="auto"/>
              <w:ind w:left="0" w:firstLine="0"/>
              <w:rPr>
                <w:b w:val="0"/>
                <w:bCs/>
                <w:color w:val="404041"/>
              </w:rPr>
            </w:pPr>
            <w:r w:rsidRPr="00F16620">
              <w:rPr>
                <w:b w:val="0"/>
                <w:bCs/>
                <w:color w:val="404041"/>
              </w:rPr>
              <w:t>L’information médicale du patient est disponible aux patients et aux prestataires à l’échelle de tous les services de santé.</w:t>
            </w:r>
          </w:p>
          <w:p w14:paraId="2AEE942B" w14:textId="77777777" w:rsidR="00100349" w:rsidRPr="00F16620" w:rsidRDefault="00100349" w:rsidP="00F16620">
            <w:pPr>
              <w:pStyle w:val="Heading-RowA"/>
              <w:spacing w:line="240" w:lineRule="auto"/>
              <w:ind w:left="0" w:firstLine="0"/>
              <w:rPr>
                <w:b w:val="0"/>
                <w:bCs/>
                <w:color w:val="D41B5A"/>
              </w:rPr>
            </w:pPr>
            <w:r w:rsidRPr="00F16620">
              <w:rPr>
                <w:b w:val="0"/>
                <w:bCs/>
                <w:color w:val="D41B5A"/>
              </w:rPr>
              <w:t>Indicateur : La communication électronique avec les patients est répandue</w:t>
            </w:r>
          </w:p>
          <w:p w14:paraId="3F01131C" w14:textId="6153DB33" w:rsidR="004F7937" w:rsidRPr="00F16620" w:rsidRDefault="00100349" w:rsidP="00F16620">
            <w:pPr>
              <w:pStyle w:val="Heading-RowA"/>
              <w:spacing w:line="240" w:lineRule="auto"/>
              <w:ind w:left="0" w:firstLine="0"/>
              <w:rPr>
                <w:b w:val="0"/>
                <w:bCs/>
              </w:rPr>
            </w:pPr>
            <w:r w:rsidRPr="00F16620">
              <w:rPr>
                <w:b w:val="0"/>
                <w:bCs/>
                <w:color w:val="D41B5A"/>
              </w:rPr>
              <w:t>Indicateur : L’utilisation de dossiers de santé informatisés intégrés est répandue</w:t>
            </w:r>
            <w:r w:rsidR="00E31D5B" w:rsidRPr="00F16620">
              <w:rPr>
                <w:b w:val="0"/>
                <w:bCs/>
              </w:rPr>
              <w:br/>
            </w:r>
          </w:p>
        </w:tc>
        <w:tc>
          <w:tcPr>
            <w:tcW w:w="638" w:type="dxa"/>
            <w:tcBorders>
              <w:top w:val="single" w:sz="4" w:space="0" w:color="7C2855"/>
              <w:left w:val="single" w:sz="4" w:space="0" w:color="7C2855"/>
              <w:bottom w:val="single" w:sz="4" w:space="0" w:color="7C2855"/>
            </w:tcBorders>
            <w:shd w:val="clear" w:color="auto" w:fill="DFE0DE"/>
          </w:tcPr>
          <w:p w14:paraId="2746FA0E" w14:textId="5B4C5A46" w:rsidR="00527CC9" w:rsidRPr="002F3A88" w:rsidRDefault="00527CC9" w:rsidP="003A22A1">
            <w:pPr>
              <w:pStyle w:val="Heading1"/>
              <w:rPr>
                <w:noProof/>
                <w:lang w:val="fr-CA"/>
              </w:rPr>
            </w:pPr>
            <w:r w:rsidRPr="002F3A88">
              <w:rPr>
                <w:noProof/>
                <w:lang w:val="fr-CA"/>
              </w:rPr>
              <w:t>5.2.1</w:t>
            </w:r>
          </w:p>
        </w:tc>
        <w:tc>
          <w:tcPr>
            <w:tcW w:w="2832" w:type="dxa"/>
            <w:tcBorders>
              <w:top w:val="single" w:sz="4" w:space="0" w:color="7C2855"/>
              <w:bottom w:val="single" w:sz="4" w:space="0" w:color="7C2855"/>
              <w:right w:val="single" w:sz="4" w:space="0" w:color="7C2855"/>
            </w:tcBorders>
            <w:shd w:val="clear" w:color="auto" w:fill="DFE0DE"/>
          </w:tcPr>
          <w:p w14:paraId="68F3BF9A" w14:textId="7A74BF2E" w:rsidR="00527CC9" w:rsidRPr="002F3A88" w:rsidRDefault="00E31D5B" w:rsidP="00A9489B">
            <w:pPr>
              <w:rPr>
                <w:noProof/>
                <w:lang w:val="fr-CA"/>
              </w:rPr>
            </w:pPr>
            <w:r w:rsidRPr="002F3A88">
              <w:rPr>
                <w:noProof/>
                <w:lang w:val="fr-CA"/>
              </w:rPr>
              <w:t>Les prestataires ont un accès approprié aux dossiers de santé informatisés intégrés.</w:t>
            </w:r>
            <w:r w:rsidRPr="002F3A88">
              <w:rPr>
                <w:noProof/>
                <w:lang w:val="fr-CA"/>
              </w:rPr>
              <w:br/>
            </w:r>
          </w:p>
        </w:tc>
        <w:tc>
          <w:tcPr>
            <w:tcW w:w="2831" w:type="dxa"/>
            <w:tcBorders>
              <w:top w:val="single" w:sz="4" w:space="0" w:color="7C2855"/>
              <w:left w:val="single" w:sz="4" w:space="0" w:color="7C2855"/>
              <w:bottom w:val="single" w:sz="4" w:space="0" w:color="7C2855"/>
            </w:tcBorders>
            <w:shd w:val="clear" w:color="auto" w:fill="F2F2F2" w:themeFill="background1" w:themeFillShade="F2"/>
          </w:tcPr>
          <w:p w14:paraId="6A0A72F3" w14:textId="56270DC1" w:rsidR="00527CC9" w:rsidRPr="002F3A88" w:rsidRDefault="00527CC9" w:rsidP="002A163F">
            <w:pPr>
              <w:rPr>
                <w:noProof/>
                <w:lang w:val="fr-CA"/>
              </w:rPr>
            </w:pPr>
          </w:p>
        </w:tc>
      </w:tr>
      <w:tr w:rsidR="002402EC" w:rsidRPr="00167B0E" w14:paraId="4B9EF803" w14:textId="77777777" w:rsidTr="00C04D83">
        <w:trPr>
          <w:cantSplit/>
          <w:tblHeader/>
        </w:trPr>
        <w:tc>
          <w:tcPr>
            <w:tcW w:w="3778" w:type="dxa"/>
            <w:vMerge/>
          </w:tcPr>
          <w:p w14:paraId="55F5FDD5" w14:textId="77777777" w:rsidR="00527CC9" w:rsidRPr="002F3A88" w:rsidRDefault="00527CC9" w:rsidP="00A9489B">
            <w:pPr>
              <w:rPr>
                <w:noProof/>
                <w:lang w:val="fr-CA"/>
              </w:rPr>
            </w:pPr>
          </w:p>
        </w:tc>
        <w:tc>
          <w:tcPr>
            <w:tcW w:w="566" w:type="dxa"/>
            <w:vMerge/>
          </w:tcPr>
          <w:p w14:paraId="5917B3FC" w14:textId="4535FDA3" w:rsidR="00527CC9" w:rsidRPr="002F3A88" w:rsidRDefault="00527CC9" w:rsidP="00A9489B">
            <w:pPr>
              <w:rPr>
                <w:noProof/>
                <w:lang w:val="fr-CA"/>
              </w:rPr>
            </w:pPr>
          </w:p>
        </w:tc>
        <w:tc>
          <w:tcPr>
            <w:tcW w:w="2818" w:type="dxa"/>
            <w:vMerge/>
          </w:tcPr>
          <w:p w14:paraId="0401886D" w14:textId="02F67D6A" w:rsidR="00527CC9" w:rsidRPr="002F3A88" w:rsidRDefault="00527CC9" w:rsidP="00A9489B">
            <w:pPr>
              <w:rPr>
                <w:noProof/>
                <w:lang w:val="fr-CA"/>
              </w:rPr>
            </w:pPr>
          </w:p>
        </w:tc>
        <w:tc>
          <w:tcPr>
            <w:tcW w:w="638" w:type="dxa"/>
            <w:tcBorders>
              <w:top w:val="single" w:sz="4" w:space="0" w:color="7C2855"/>
              <w:left w:val="single" w:sz="4" w:space="0" w:color="7C2855"/>
            </w:tcBorders>
            <w:shd w:val="clear" w:color="auto" w:fill="DFE0DE"/>
          </w:tcPr>
          <w:p w14:paraId="49DB8275" w14:textId="21867833" w:rsidR="00527CC9" w:rsidRPr="002F3A88" w:rsidRDefault="00527CC9" w:rsidP="003A22A1">
            <w:pPr>
              <w:pStyle w:val="Heading1"/>
              <w:rPr>
                <w:noProof/>
                <w:lang w:val="fr-CA"/>
              </w:rPr>
            </w:pPr>
            <w:r w:rsidRPr="002F3A88">
              <w:rPr>
                <w:noProof/>
                <w:lang w:val="fr-CA"/>
              </w:rPr>
              <w:t>5.2.2</w:t>
            </w:r>
          </w:p>
        </w:tc>
        <w:tc>
          <w:tcPr>
            <w:tcW w:w="2832" w:type="dxa"/>
            <w:tcBorders>
              <w:top w:val="single" w:sz="4" w:space="0" w:color="7C2855"/>
              <w:right w:val="single" w:sz="4" w:space="0" w:color="7C2855"/>
            </w:tcBorders>
            <w:shd w:val="clear" w:color="auto" w:fill="DFE0DE"/>
          </w:tcPr>
          <w:p w14:paraId="05289993" w14:textId="51B9D602" w:rsidR="00527CC9" w:rsidRPr="002F3A88" w:rsidRDefault="00E31D5B" w:rsidP="00A9489B">
            <w:pPr>
              <w:rPr>
                <w:noProof/>
                <w:lang w:val="fr-CA"/>
              </w:rPr>
            </w:pPr>
            <w:r w:rsidRPr="002F3A88">
              <w:rPr>
                <w:noProof/>
                <w:lang w:val="fr-CA"/>
              </w:rPr>
              <w:t>Les patients ont un accès facile et rapide à leurs informations médicales.</w:t>
            </w:r>
          </w:p>
        </w:tc>
        <w:tc>
          <w:tcPr>
            <w:tcW w:w="2831" w:type="dxa"/>
            <w:tcBorders>
              <w:top w:val="single" w:sz="4" w:space="0" w:color="7C2855"/>
              <w:left w:val="single" w:sz="4" w:space="0" w:color="7C2855"/>
            </w:tcBorders>
            <w:shd w:val="clear" w:color="auto" w:fill="F2F2F2" w:themeFill="background1" w:themeFillShade="F2"/>
          </w:tcPr>
          <w:p w14:paraId="0198526E" w14:textId="77777777" w:rsidR="00527CC9" w:rsidRPr="002F3A88" w:rsidRDefault="00527CC9" w:rsidP="002A163F">
            <w:pPr>
              <w:rPr>
                <w:noProof/>
                <w:lang w:val="fr-CA"/>
              </w:rPr>
            </w:pPr>
          </w:p>
        </w:tc>
      </w:tr>
    </w:tbl>
    <w:p w14:paraId="2D558C34" w14:textId="23B0C95C" w:rsidR="005C5E9B" w:rsidRPr="002F3A88" w:rsidRDefault="005C5E9B" w:rsidP="00A9489B">
      <w:pPr>
        <w:rPr>
          <w:noProof/>
          <w:lang w:val="fr-CA"/>
        </w:rPr>
      </w:pPr>
    </w:p>
    <w:p w14:paraId="31F28C5F" w14:textId="75F89CC5" w:rsidR="005C5E9B" w:rsidRPr="002F3A88" w:rsidRDefault="001931DD" w:rsidP="00392720">
      <w:pPr>
        <w:ind w:left="284"/>
        <w:rPr>
          <w:noProof/>
          <w:lang w:val="fr-CA"/>
        </w:rPr>
      </w:pPr>
      <w:r w:rsidRPr="00BA78A3">
        <w:rPr>
          <w:b/>
          <w:bCs/>
          <w:noProof/>
          <w:sz w:val="24"/>
          <w:szCs w:val="24"/>
          <w:lang w:val="fr-CA"/>
        </w:rPr>
        <w:t>Autres initiatives pour la qualité des soins et la sécurité des patients</w:t>
      </w:r>
      <w:r w:rsidR="00F279C5" w:rsidRPr="002F3A88">
        <w:rPr>
          <w:b/>
          <w:bCs/>
          <w:noProof/>
          <w:color w:val="7C2855"/>
          <w:sz w:val="36"/>
          <w:szCs w:val="12"/>
          <w:lang w:val="fr-CA"/>
        </w:rPr>
        <w:br/>
      </w:r>
    </w:p>
    <w:tbl>
      <w:tblPr>
        <w:tblStyle w:val="TableGrid"/>
        <w:tblW w:w="0" w:type="auto"/>
        <w:tblInd w:w="279" w:type="dxa"/>
        <w:tblLook w:val="04A0" w:firstRow="1" w:lastRow="0" w:firstColumn="1" w:lastColumn="0" w:noHBand="0" w:noVBand="1"/>
      </w:tblPr>
      <w:tblGrid>
        <w:gridCol w:w="13211"/>
      </w:tblGrid>
      <w:tr w:rsidR="00F279C5" w:rsidRPr="00167B0E" w14:paraId="576A5318" w14:textId="77777777" w:rsidTr="00FC13A2">
        <w:trPr>
          <w:trHeight w:val="1651"/>
        </w:trPr>
        <w:tc>
          <w:tcPr>
            <w:tcW w:w="13211" w:type="dxa"/>
            <w:tcBorders>
              <w:top w:val="single" w:sz="4" w:space="0" w:color="7C2855"/>
              <w:left w:val="single" w:sz="4" w:space="0" w:color="7C2855"/>
              <w:bottom w:val="single" w:sz="4" w:space="0" w:color="7C2855"/>
              <w:right w:val="single" w:sz="4" w:space="0" w:color="7C2855"/>
            </w:tcBorders>
            <w:shd w:val="clear" w:color="auto" w:fill="F2F2F2" w:themeFill="background1" w:themeFillShade="F2"/>
          </w:tcPr>
          <w:p w14:paraId="7D419126" w14:textId="0AA0787C" w:rsidR="00F279C5" w:rsidRPr="002F3A88" w:rsidRDefault="00F279C5" w:rsidP="00A9489B">
            <w:pPr>
              <w:rPr>
                <w:noProof/>
                <w:lang w:val="fr-CA"/>
              </w:rPr>
            </w:pPr>
          </w:p>
        </w:tc>
      </w:tr>
    </w:tbl>
    <w:p w14:paraId="02AA545D" w14:textId="71801510" w:rsidR="009C2BFE" w:rsidRPr="002F3A88" w:rsidRDefault="00E7124E" w:rsidP="00FC13A2">
      <w:pPr>
        <w:pStyle w:val="HeadLevel4Framework-Styles"/>
        <w:ind w:left="284"/>
        <w:rPr>
          <w:rFonts w:asciiTheme="minorHAnsi" w:hAnsiTheme="minorHAnsi" w:cstheme="minorBidi"/>
          <w:b/>
          <w:noProof/>
          <w:lang w:val="fr-CA"/>
        </w:rPr>
      </w:pPr>
      <w:r w:rsidRPr="00BA78A3">
        <w:rPr>
          <w:rFonts w:asciiTheme="minorHAnsi" w:hAnsiTheme="minorHAnsi" w:cstheme="minorHAnsi"/>
          <w:b/>
          <w:noProof/>
          <w:lang w:val="fr-CA"/>
        </w:rPr>
        <w:lastRenderedPageBreak/>
        <w:t xml:space="preserve">Veuillez envisager d’envoyer un courriel à </w:t>
      </w:r>
      <w:r w:rsidR="0082288C" w:rsidRPr="00BA78A3">
        <w:rPr>
          <w:rFonts w:asciiTheme="minorHAnsi" w:hAnsiTheme="minorHAnsi" w:cstheme="minorBidi"/>
          <w:b/>
          <w:noProof/>
          <w:color w:val="4472C4" w:themeColor="accent1"/>
          <w:lang w:val="fr-CA"/>
        </w:rPr>
        <w:t>ServicesDeQualitéPourTous@healthstandards.org</w:t>
      </w:r>
      <w:r w:rsidR="00FC13A2" w:rsidRPr="00BA78A3">
        <w:rPr>
          <w:rFonts w:asciiTheme="minorHAnsi" w:hAnsiTheme="minorHAnsi" w:cstheme="minorBidi"/>
          <w:b/>
          <w:noProof/>
          <w:lang w:val="fr-CA"/>
        </w:rPr>
        <w:t xml:space="preserve"> </w:t>
      </w:r>
      <w:r w:rsidRPr="00BA78A3">
        <w:rPr>
          <w:rFonts w:asciiTheme="minorHAnsi" w:hAnsiTheme="minorHAnsi" w:cstheme="minorBidi"/>
          <w:b/>
          <w:noProof/>
          <w:lang w:val="fr-CA"/>
        </w:rPr>
        <w:t>et ainsi partager votre expérience de l’utilisation du Cadre afin d’en inciter d’autres à axer le Canada sur ces cinq objectifs de qualité et de sécurité des soins</w:t>
      </w:r>
      <w:r w:rsidR="00FC13A2" w:rsidRPr="00BA78A3">
        <w:rPr>
          <w:rFonts w:asciiTheme="minorHAnsi" w:hAnsiTheme="minorHAnsi" w:cstheme="minorBidi"/>
          <w:b/>
          <w:noProof/>
          <w:lang w:val="fr-CA"/>
        </w:rPr>
        <w:t xml:space="preserve">. </w:t>
      </w:r>
      <w:r w:rsidR="00D84E53" w:rsidRPr="00BA78A3">
        <w:rPr>
          <w:rFonts w:asciiTheme="minorHAnsi" w:hAnsiTheme="minorHAnsi" w:cstheme="minorBidi"/>
          <w:b/>
          <w:noProof/>
          <w:lang w:val="fr-CA"/>
        </w:rPr>
        <w:t>Merci</w:t>
      </w:r>
      <w:r w:rsidR="00FC13A2" w:rsidRPr="00BA78A3">
        <w:rPr>
          <w:rFonts w:asciiTheme="minorHAnsi" w:hAnsiTheme="minorHAnsi" w:cstheme="minorBidi"/>
          <w:b/>
          <w:noProof/>
          <w:lang w:val="fr-CA"/>
        </w:rPr>
        <w:t>!</w:t>
      </w:r>
    </w:p>
    <w:sectPr w:rsidR="009C2BFE" w:rsidRPr="002F3A88" w:rsidSect="00BA78A3">
      <w:footerReference w:type="default" r:id="rId14"/>
      <w:pgSz w:w="15840" w:h="12240" w:orient="landscape"/>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EBD8" w14:textId="77777777" w:rsidR="00B67ACE" w:rsidRDefault="00B67ACE" w:rsidP="00A9489B">
      <w:r>
        <w:separator/>
      </w:r>
    </w:p>
  </w:endnote>
  <w:endnote w:type="continuationSeparator" w:id="0">
    <w:p w14:paraId="1675BD5E" w14:textId="77777777" w:rsidR="00B67ACE" w:rsidRDefault="00B67ACE" w:rsidP="00A9489B">
      <w:r>
        <w:continuationSeparator/>
      </w:r>
    </w:p>
  </w:endnote>
  <w:endnote w:type="continuationNotice" w:id="1">
    <w:p w14:paraId="0305EF64" w14:textId="77777777" w:rsidR="00B67ACE" w:rsidRDefault="00B67AC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C83F" w14:textId="6027C98F" w:rsidR="00A36AEF" w:rsidRPr="00D84E53" w:rsidRDefault="00CE5582" w:rsidP="00A9489B">
    <w:pPr>
      <w:pStyle w:val="Footer"/>
      <w:rPr>
        <w:b/>
        <w:lang w:val="fr-CA"/>
      </w:rPr>
    </w:pPr>
    <w:r>
      <w:rPr>
        <w:noProof/>
      </w:rPr>
      <w:drawing>
        <wp:anchor distT="0" distB="0" distL="114300" distR="114300" simplePos="0" relativeHeight="251657728" behindDoc="0" locked="0" layoutInCell="1" allowOverlap="1" wp14:anchorId="007772E8" wp14:editId="01DD885C">
          <wp:simplePos x="0" y="0"/>
          <wp:positionH relativeFrom="margin">
            <wp:posOffset>5886450</wp:posOffset>
          </wp:positionH>
          <wp:positionV relativeFrom="paragraph">
            <wp:posOffset>65405</wp:posOffset>
          </wp:positionV>
          <wp:extent cx="2619375" cy="568546"/>
          <wp:effectExtent l="0" t="0" r="0" b="317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568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937" w:rsidRPr="00D84E53">
      <w:rPr>
        <w:lang w:val="fr-CA"/>
      </w:rPr>
      <w:br/>
    </w:r>
    <w:r w:rsidR="00704848" w:rsidRPr="00D84E53">
      <w:rPr>
        <w:b/>
        <w:bCs/>
        <w:color w:val="CE0058"/>
        <w:lang w:val="fr-CA"/>
      </w:rPr>
      <w:t>Le Cadre canadien sur la qualité des soins et la sécurité des patients pour les services de santé</w:t>
    </w:r>
    <w:r w:rsidR="00704848" w:rsidRPr="00D84E53">
      <w:rPr>
        <w:b/>
        <w:bCs/>
        <w:color w:val="CE0058"/>
        <w:lang w:val="fr-CA"/>
      </w:rPr>
      <w:br/>
    </w:r>
    <w:hyperlink r:id="rId2" w:history="1">
      <w:r w:rsidR="00A36AEF" w:rsidRPr="00D84E53">
        <w:rPr>
          <w:rStyle w:val="Hyperlink"/>
          <w:b/>
          <w:u w:val="none"/>
          <w:lang w:val="fr-CA"/>
        </w:rPr>
        <w:t>www.qualitypatientsafety.ca</w:t>
      </w:r>
    </w:hyperlink>
    <w:r w:rsidR="00A36AEF" w:rsidRPr="00D84E53">
      <w:rPr>
        <w:b/>
        <w:color w:val="CE0058"/>
        <w:lang w:val="fr-CA"/>
      </w:rPr>
      <w:t xml:space="preserve"> </w:t>
    </w:r>
  </w:p>
  <w:p w14:paraId="2373A829" w14:textId="08D79BE9" w:rsidR="004F7937" w:rsidRPr="00BA78A3" w:rsidRDefault="008D10AC" w:rsidP="00A9489B">
    <w:pPr>
      <w:pStyle w:val="Footer"/>
      <w:rPr>
        <w:noProof/>
        <w:lang w:val="fr-CA"/>
      </w:rPr>
    </w:pPr>
    <w:r w:rsidRPr="00BA78A3">
      <w:rPr>
        <w:noProof/>
        <w:lang w:val="fr-CA"/>
      </w:rPr>
      <w:t>Modèle de mise en correspondanc</w:t>
    </w:r>
    <w:r w:rsidR="004F7937" w:rsidRPr="00BA78A3">
      <w:rPr>
        <w:noProof/>
        <w:lang w:val="fr-CA"/>
      </w:rPr>
      <w:t>e</w:t>
    </w:r>
  </w:p>
  <w:p w14:paraId="59A48E42" w14:textId="7F9796F9" w:rsidR="004F7937" w:rsidRPr="008D10AC" w:rsidRDefault="00000000" w:rsidP="00A9489B">
    <w:pPr>
      <w:pStyle w:val="Footer"/>
      <w:rPr>
        <w:lang w:val="fr-CA"/>
      </w:rPr>
    </w:pPr>
    <w:sdt>
      <w:sdtPr>
        <w:rPr>
          <w:highlight w:val="yellow"/>
        </w:rPr>
        <w:id w:val="-2005892686"/>
        <w:docPartObj>
          <w:docPartGallery w:val="Page Numbers (Bottom of Page)"/>
          <w:docPartUnique/>
        </w:docPartObj>
      </w:sdtPr>
      <w:sdtContent>
        <w:sdt>
          <w:sdtPr>
            <w:rPr>
              <w:highlight w:val="yellow"/>
            </w:rPr>
            <w:id w:val="-1769616900"/>
            <w:docPartObj>
              <w:docPartGallery w:val="Page Numbers (Top of Page)"/>
              <w:docPartUnique/>
            </w:docPartObj>
          </w:sdtPr>
          <w:sdtContent>
            <w:r w:rsidR="004F7937" w:rsidRPr="008D10AC">
              <w:rPr>
                <w:lang w:val="fr-CA"/>
              </w:rPr>
              <w:t xml:space="preserve">Page </w:t>
            </w:r>
            <w:r w:rsidR="004F7937" w:rsidRPr="00EA70D2">
              <w:rPr>
                <w:sz w:val="24"/>
                <w:szCs w:val="24"/>
              </w:rPr>
              <w:fldChar w:fldCharType="begin"/>
            </w:r>
            <w:r w:rsidR="004F7937" w:rsidRPr="008D10AC">
              <w:rPr>
                <w:lang w:val="fr-CA"/>
              </w:rPr>
              <w:instrText xml:space="preserve"> PAGE </w:instrText>
            </w:r>
            <w:r w:rsidR="004F7937" w:rsidRPr="00EA70D2">
              <w:rPr>
                <w:sz w:val="24"/>
                <w:szCs w:val="24"/>
              </w:rPr>
              <w:fldChar w:fldCharType="separate"/>
            </w:r>
            <w:r w:rsidR="004F7937" w:rsidRPr="008D10AC">
              <w:rPr>
                <w:lang w:val="fr-CA"/>
              </w:rPr>
              <w:t>2</w:t>
            </w:r>
            <w:r w:rsidR="004F7937" w:rsidRPr="00EA70D2">
              <w:rPr>
                <w:sz w:val="24"/>
                <w:szCs w:val="24"/>
              </w:rPr>
              <w:fldChar w:fldCharType="end"/>
            </w:r>
            <w:r w:rsidR="004F7937" w:rsidRPr="008D10AC">
              <w:rPr>
                <w:lang w:val="fr-CA"/>
              </w:rPr>
              <w:t xml:space="preserve"> </w:t>
            </w:r>
          </w:sdtContent>
        </w:sdt>
      </w:sdtContent>
    </w:sdt>
  </w:p>
  <w:p w14:paraId="2E574D3B" w14:textId="41F4EEA9" w:rsidR="004F7937" w:rsidRPr="008D10AC" w:rsidRDefault="00D843BC" w:rsidP="00A9489B">
    <w:pPr>
      <w:pStyle w:val="Footer"/>
      <w:rPr>
        <w:lang w:val="fr-CA"/>
      </w:rPr>
    </w:pPr>
    <w:r>
      <w:rPr>
        <w:noProof/>
        <w:lang w:val="fr-CA"/>
      </w:rPr>
      <mc:AlternateContent>
        <mc:Choice Requires="wps">
          <w:drawing>
            <wp:inline distT="0" distB="0" distL="0" distR="0" wp14:anchorId="6C74B3B7" wp14:editId="3865067D">
              <wp:extent cx="53163" cy="63796"/>
              <wp:effectExtent l="57150" t="0" r="61595" b="0"/>
              <wp:docPr id="672128607" name="Rectangle 1" descr="Deux marques mettant en évidence l’ICSP – Institut canadien pour la sécurité des patients et HSO"/>
              <wp:cNvGraphicFramePr/>
              <a:graphic xmlns:a="http://schemas.openxmlformats.org/drawingml/2006/main">
                <a:graphicData uri="http://schemas.microsoft.com/office/word/2010/wordprocessingShape">
                  <wps:wsp>
                    <wps:cNvSpPr/>
                    <wps:spPr>
                      <a:xfrm>
                        <a:off x="0" y="0"/>
                        <a:ext cx="53163" cy="637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85954D" id="Rectangle 1" o:spid="_x0000_s1026" alt="Deux marques mettant en évidence l’ICSP – Institut canadien pour la sécurité des patients et HSO" style="width:4.2pt;height: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A6FB" w14:textId="77777777" w:rsidR="00B67ACE" w:rsidRDefault="00B67ACE" w:rsidP="00A9489B">
      <w:r>
        <w:separator/>
      </w:r>
    </w:p>
  </w:footnote>
  <w:footnote w:type="continuationSeparator" w:id="0">
    <w:p w14:paraId="3963AE8B" w14:textId="77777777" w:rsidR="00B67ACE" w:rsidRDefault="00B67ACE" w:rsidP="00A9489B">
      <w:r>
        <w:continuationSeparator/>
      </w:r>
    </w:p>
  </w:footnote>
  <w:footnote w:type="continuationNotice" w:id="1">
    <w:p w14:paraId="705C17F8" w14:textId="77777777" w:rsidR="00B67ACE" w:rsidRDefault="00B67ACE">
      <w:pPr>
        <w:spacing w:before="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2s7SwMDUyMbcwMTBU0lEKTi0uzszPAykwrAUA00lFSCwAAAA="/>
  </w:docVars>
  <w:rsids>
    <w:rsidRoot w:val="00260E91"/>
    <w:rsid w:val="000203F3"/>
    <w:rsid w:val="00023EE3"/>
    <w:rsid w:val="00027832"/>
    <w:rsid w:val="00031A1B"/>
    <w:rsid w:val="00043D55"/>
    <w:rsid w:val="00047265"/>
    <w:rsid w:val="0005471F"/>
    <w:rsid w:val="000752B2"/>
    <w:rsid w:val="00075AC2"/>
    <w:rsid w:val="000B59D5"/>
    <w:rsid w:val="000C4EA1"/>
    <w:rsid w:val="000C65F1"/>
    <w:rsid w:val="000D60DB"/>
    <w:rsid w:val="000E43A0"/>
    <w:rsid w:val="000F2652"/>
    <w:rsid w:val="00100349"/>
    <w:rsid w:val="001260A5"/>
    <w:rsid w:val="00155D77"/>
    <w:rsid w:val="00167B0E"/>
    <w:rsid w:val="0017124F"/>
    <w:rsid w:val="00190861"/>
    <w:rsid w:val="0019250E"/>
    <w:rsid w:val="001931DD"/>
    <w:rsid w:val="001A5BA0"/>
    <w:rsid w:val="001B1347"/>
    <w:rsid w:val="001B3D1F"/>
    <w:rsid w:val="001B4DDA"/>
    <w:rsid w:val="001E13A7"/>
    <w:rsid w:val="001F0632"/>
    <w:rsid w:val="001F5B70"/>
    <w:rsid w:val="002175B9"/>
    <w:rsid w:val="002402EC"/>
    <w:rsid w:val="00246180"/>
    <w:rsid w:val="00260E91"/>
    <w:rsid w:val="002620D4"/>
    <w:rsid w:val="00265BE6"/>
    <w:rsid w:val="00265E71"/>
    <w:rsid w:val="00270A19"/>
    <w:rsid w:val="002A163F"/>
    <w:rsid w:val="002A18D4"/>
    <w:rsid w:val="002A4C72"/>
    <w:rsid w:val="002C67FB"/>
    <w:rsid w:val="002F2D20"/>
    <w:rsid w:val="002F3A88"/>
    <w:rsid w:val="002F4A8D"/>
    <w:rsid w:val="002F6C5D"/>
    <w:rsid w:val="003130A3"/>
    <w:rsid w:val="00323DC5"/>
    <w:rsid w:val="00325C07"/>
    <w:rsid w:val="003261AA"/>
    <w:rsid w:val="003822E2"/>
    <w:rsid w:val="00392720"/>
    <w:rsid w:val="003A22A1"/>
    <w:rsid w:val="003A5A38"/>
    <w:rsid w:val="003B2940"/>
    <w:rsid w:val="003D5CFB"/>
    <w:rsid w:val="003E4922"/>
    <w:rsid w:val="004238E4"/>
    <w:rsid w:val="00425F46"/>
    <w:rsid w:val="00473603"/>
    <w:rsid w:val="00490A62"/>
    <w:rsid w:val="004A2837"/>
    <w:rsid w:val="004C7E79"/>
    <w:rsid w:val="004D6C5D"/>
    <w:rsid w:val="004F7937"/>
    <w:rsid w:val="005000FB"/>
    <w:rsid w:val="00515CC6"/>
    <w:rsid w:val="00526620"/>
    <w:rsid w:val="00527CC9"/>
    <w:rsid w:val="00545634"/>
    <w:rsid w:val="005501C9"/>
    <w:rsid w:val="005518D8"/>
    <w:rsid w:val="00552809"/>
    <w:rsid w:val="00563266"/>
    <w:rsid w:val="00576FD6"/>
    <w:rsid w:val="005833AB"/>
    <w:rsid w:val="00584E58"/>
    <w:rsid w:val="00590ECA"/>
    <w:rsid w:val="005A0508"/>
    <w:rsid w:val="005A7728"/>
    <w:rsid w:val="005B0435"/>
    <w:rsid w:val="005B1B75"/>
    <w:rsid w:val="005C5E9B"/>
    <w:rsid w:val="005F6AF2"/>
    <w:rsid w:val="00610CB1"/>
    <w:rsid w:val="0062628E"/>
    <w:rsid w:val="00627993"/>
    <w:rsid w:val="00655A5E"/>
    <w:rsid w:val="00666467"/>
    <w:rsid w:val="0068414E"/>
    <w:rsid w:val="006865E5"/>
    <w:rsid w:val="00695D0B"/>
    <w:rsid w:val="006A13BD"/>
    <w:rsid w:val="006A3F93"/>
    <w:rsid w:val="006A4499"/>
    <w:rsid w:val="006B2041"/>
    <w:rsid w:val="006B7FB6"/>
    <w:rsid w:val="006D1AF7"/>
    <w:rsid w:val="006E490F"/>
    <w:rsid w:val="006E5214"/>
    <w:rsid w:val="006F5460"/>
    <w:rsid w:val="00704848"/>
    <w:rsid w:val="00732A6B"/>
    <w:rsid w:val="00751B6C"/>
    <w:rsid w:val="007572CA"/>
    <w:rsid w:val="00765E06"/>
    <w:rsid w:val="007814DF"/>
    <w:rsid w:val="007A4367"/>
    <w:rsid w:val="007B0CA8"/>
    <w:rsid w:val="007C21A9"/>
    <w:rsid w:val="007C741A"/>
    <w:rsid w:val="008106AC"/>
    <w:rsid w:val="0082288C"/>
    <w:rsid w:val="008425DB"/>
    <w:rsid w:val="00846C48"/>
    <w:rsid w:val="0085104E"/>
    <w:rsid w:val="0085663D"/>
    <w:rsid w:val="008571CB"/>
    <w:rsid w:val="008711DB"/>
    <w:rsid w:val="008751E3"/>
    <w:rsid w:val="00882FA9"/>
    <w:rsid w:val="008A05F8"/>
    <w:rsid w:val="008A403A"/>
    <w:rsid w:val="008C5443"/>
    <w:rsid w:val="008C6961"/>
    <w:rsid w:val="008D10AC"/>
    <w:rsid w:val="008D32DC"/>
    <w:rsid w:val="008D7423"/>
    <w:rsid w:val="008E1D2B"/>
    <w:rsid w:val="008E4B04"/>
    <w:rsid w:val="008F1499"/>
    <w:rsid w:val="009033CD"/>
    <w:rsid w:val="009106B2"/>
    <w:rsid w:val="009107FE"/>
    <w:rsid w:val="009214E1"/>
    <w:rsid w:val="00955AAB"/>
    <w:rsid w:val="00956F50"/>
    <w:rsid w:val="00962419"/>
    <w:rsid w:val="00964FDC"/>
    <w:rsid w:val="00967993"/>
    <w:rsid w:val="0097038A"/>
    <w:rsid w:val="009818D0"/>
    <w:rsid w:val="0098596D"/>
    <w:rsid w:val="00995BD7"/>
    <w:rsid w:val="009C2BFE"/>
    <w:rsid w:val="009C32D6"/>
    <w:rsid w:val="009E30B8"/>
    <w:rsid w:val="00A01BBB"/>
    <w:rsid w:val="00A2041B"/>
    <w:rsid w:val="00A36AEF"/>
    <w:rsid w:val="00A372B9"/>
    <w:rsid w:val="00A44AAC"/>
    <w:rsid w:val="00A51D16"/>
    <w:rsid w:val="00A5279C"/>
    <w:rsid w:val="00A55D17"/>
    <w:rsid w:val="00A9489B"/>
    <w:rsid w:val="00AC2385"/>
    <w:rsid w:val="00AF1669"/>
    <w:rsid w:val="00B108A3"/>
    <w:rsid w:val="00B136EC"/>
    <w:rsid w:val="00B22C73"/>
    <w:rsid w:val="00B26A11"/>
    <w:rsid w:val="00B34EF2"/>
    <w:rsid w:val="00B43FE9"/>
    <w:rsid w:val="00B56402"/>
    <w:rsid w:val="00B67ACE"/>
    <w:rsid w:val="00B723E9"/>
    <w:rsid w:val="00B843FA"/>
    <w:rsid w:val="00B85B5A"/>
    <w:rsid w:val="00B85FAD"/>
    <w:rsid w:val="00BA4BFB"/>
    <w:rsid w:val="00BA78A3"/>
    <w:rsid w:val="00BA7EB6"/>
    <w:rsid w:val="00BD1FE8"/>
    <w:rsid w:val="00C04D83"/>
    <w:rsid w:val="00C12D2A"/>
    <w:rsid w:val="00C27FF2"/>
    <w:rsid w:val="00C44FF7"/>
    <w:rsid w:val="00C52BA9"/>
    <w:rsid w:val="00C61E1D"/>
    <w:rsid w:val="00C661BC"/>
    <w:rsid w:val="00C774BE"/>
    <w:rsid w:val="00C96262"/>
    <w:rsid w:val="00CB356B"/>
    <w:rsid w:val="00CB4D3F"/>
    <w:rsid w:val="00CE047D"/>
    <w:rsid w:val="00CE3F20"/>
    <w:rsid w:val="00CE5582"/>
    <w:rsid w:val="00CE7C25"/>
    <w:rsid w:val="00CF4C06"/>
    <w:rsid w:val="00CF6ABC"/>
    <w:rsid w:val="00CF742E"/>
    <w:rsid w:val="00D04A80"/>
    <w:rsid w:val="00D3431A"/>
    <w:rsid w:val="00D4266A"/>
    <w:rsid w:val="00D46623"/>
    <w:rsid w:val="00D546B9"/>
    <w:rsid w:val="00D5692D"/>
    <w:rsid w:val="00D608A1"/>
    <w:rsid w:val="00D639C9"/>
    <w:rsid w:val="00D72958"/>
    <w:rsid w:val="00D76AD5"/>
    <w:rsid w:val="00D843BC"/>
    <w:rsid w:val="00D84E53"/>
    <w:rsid w:val="00D95DF2"/>
    <w:rsid w:val="00D96D53"/>
    <w:rsid w:val="00DA60F6"/>
    <w:rsid w:val="00DB6D80"/>
    <w:rsid w:val="00DD4D64"/>
    <w:rsid w:val="00DF02A4"/>
    <w:rsid w:val="00DF46A2"/>
    <w:rsid w:val="00E15514"/>
    <w:rsid w:val="00E26627"/>
    <w:rsid w:val="00E31D5B"/>
    <w:rsid w:val="00E33B68"/>
    <w:rsid w:val="00E41729"/>
    <w:rsid w:val="00E44B48"/>
    <w:rsid w:val="00E7124E"/>
    <w:rsid w:val="00E871D6"/>
    <w:rsid w:val="00E91865"/>
    <w:rsid w:val="00E94540"/>
    <w:rsid w:val="00EA70D2"/>
    <w:rsid w:val="00EC7284"/>
    <w:rsid w:val="00ED3A1A"/>
    <w:rsid w:val="00ED50CD"/>
    <w:rsid w:val="00ED7513"/>
    <w:rsid w:val="00EE7D70"/>
    <w:rsid w:val="00EF03F6"/>
    <w:rsid w:val="00F109E7"/>
    <w:rsid w:val="00F16620"/>
    <w:rsid w:val="00F209AF"/>
    <w:rsid w:val="00F279C5"/>
    <w:rsid w:val="00F35E0A"/>
    <w:rsid w:val="00F40416"/>
    <w:rsid w:val="00F607C9"/>
    <w:rsid w:val="00F62F55"/>
    <w:rsid w:val="00F84046"/>
    <w:rsid w:val="00F93A43"/>
    <w:rsid w:val="00FA4CD4"/>
    <w:rsid w:val="00FC0982"/>
    <w:rsid w:val="00FC13A2"/>
    <w:rsid w:val="00FC2C79"/>
    <w:rsid w:val="00FD217F"/>
    <w:rsid w:val="00FE78A7"/>
    <w:rsid w:val="0309FDEB"/>
    <w:rsid w:val="3C70B039"/>
    <w:rsid w:val="4ECDB548"/>
    <w:rsid w:val="5370ACD5"/>
    <w:rsid w:val="6A5A1500"/>
    <w:rsid w:val="7E171C32"/>
    <w:rsid w:val="7F298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57BD"/>
  <w15:chartTrackingRefBased/>
  <w15:docId w15:val="{D22CE566-C3D5-4C8D-B1DF-24B4C20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89B"/>
    <w:pPr>
      <w:suppressAutoHyphens/>
      <w:autoSpaceDE w:val="0"/>
      <w:autoSpaceDN w:val="0"/>
      <w:adjustRightInd w:val="0"/>
      <w:spacing w:before="120" w:after="0" w:line="210" w:lineRule="atLeast"/>
      <w:textAlignment w:val="center"/>
    </w:pPr>
    <w:rPr>
      <w:rFonts w:cstheme="minorHAnsi"/>
      <w:color w:val="404041"/>
      <w:sz w:val="18"/>
      <w:szCs w:val="18"/>
    </w:rPr>
  </w:style>
  <w:style w:type="paragraph" w:styleId="Heading1">
    <w:name w:val="heading 1"/>
    <w:aliases w:val="Numbers"/>
    <w:basedOn w:val="BodyCopy-9ptFramework-Styles"/>
    <w:next w:val="Normal"/>
    <w:link w:val="Heading1Char"/>
    <w:uiPriority w:val="9"/>
    <w:qFormat/>
    <w:rsid w:val="003A22A1"/>
    <w:pPr>
      <w:ind w:left="540" w:hanging="540"/>
      <w:outlineLvl w:val="0"/>
    </w:pPr>
    <w:rPr>
      <w:rFonts w:ascii="Museo Sans 700" w:hAnsi="Museo Sans 700" w:cs="Museo Sans 700"/>
      <w:b/>
      <w:color w:val="83105D"/>
    </w:rPr>
  </w:style>
  <w:style w:type="paragraph" w:styleId="Heading2">
    <w:name w:val="heading 2"/>
    <w:basedOn w:val="HeadLevel4Framework-Styles"/>
    <w:next w:val="Normal"/>
    <w:link w:val="Heading2Char"/>
    <w:uiPriority w:val="9"/>
    <w:unhideWhenUsed/>
    <w:qFormat/>
    <w:rsid w:val="00D46623"/>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evel4Framework-Styles">
    <w:name w:val="Head Level 4 (Framework - Styles)"/>
    <w:basedOn w:val="Normal"/>
    <w:uiPriority w:val="99"/>
    <w:rsid w:val="0085663D"/>
    <w:pPr>
      <w:spacing w:before="270" w:line="288" w:lineRule="auto"/>
    </w:pPr>
    <w:rPr>
      <w:rFonts w:ascii="Museo Sans 700" w:hAnsi="Museo Sans 700" w:cs="Museo Sans 700"/>
      <w:sz w:val="24"/>
      <w:szCs w:val="24"/>
    </w:rPr>
  </w:style>
  <w:style w:type="paragraph" w:customStyle="1" w:styleId="NoParagraphStyle">
    <w:name w:val="[No Paragraph Style]"/>
    <w:link w:val="NoParagraphStyleChar"/>
    <w:rsid w:val="0085663D"/>
    <w:pPr>
      <w:autoSpaceDE w:val="0"/>
      <w:autoSpaceDN w:val="0"/>
      <w:adjustRightInd w:val="0"/>
      <w:spacing w:after="0" w:line="288" w:lineRule="auto"/>
      <w:textAlignment w:val="center"/>
    </w:pPr>
    <w:rPr>
      <w:rFonts w:ascii="Museo Sans 700" w:hAnsi="Museo Sans 700"/>
      <w:color w:val="000000"/>
      <w:sz w:val="24"/>
      <w:szCs w:val="24"/>
    </w:rPr>
  </w:style>
  <w:style w:type="paragraph" w:customStyle="1" w:styleId="BodyCopy-9ptFramework-Styles">
    <w:name w:val="Body Copy - 9pt (Framework - Styles)"/>
    <w:basedOn w:val="NoParagraphStyle"/>
    <w:uiPriority w:val="99"/>
    <w:rsid w:val="0085663D"/>
    <w:pPr>
      <w:suppressAutoHyphens/>
      <w:spacing w:before="120" w:line="240" w:lineRule="atLeast"/>
    </w:pPr>
    <w:rPr>
      <w:rFonts w:ascii="Museo Sans 300" w:hAnsi="Museo Sans 300" w:cs="Museo Sans 300"/>
      <w:color w:val="404041"/>
      <w:sz w:val="18"/>
      <w:szCs w:val="18"/>
    </w:rPr>
  </w:style>
  <w:style w:type="paragraph" w:customStyle="1" w:styleId="TableCopy-8ptFramework-Styles">
    <w:name w:val="Table Copy-8pt (Framework - Styles)"/>
    <w:basedOn w:val="NoParagraphStyle"/>
    <w:link w:val="TableCopy-8ptFramework-StylesChar"/>
    <w:uiPriority w:val="99"/>
    <w:rsid w:val="0085663D"/>
    <w:pPr>
      <w:suppressAutoHyphens/>
      <w:spacing w:before="120" w:line="210" w:lineRule="atLeast"/>
    </w:pPr>
    <w:rPr>
      <w:rFonts w:ascii="Museo Sans 300" w:hAnsi="Museo Sans 300" w:cs="Museo Sans 300"/>
      <w:color w:val="404041"/>
      <w:sz w:val="18"/>
      <w:szCs w:val="18"/>
    </w:rPr>
  </w:style>
  <w:style w:type="table" w:styleId="TableGrid">
    <w:name w:val="Table Grid"/>
    <w:basedOn w:val="TableNormal"/>
    <w:uiPriority w:val="39"/>
    <w:rsid w:val="0085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
    <w:name w:val="Indicators"/>
    <w:basedOn w:val="TableCopy-8ptFramework-Styles"/>
    <w:link w:val="IndicatorsChar"/>
    <w:qFormat/>
    <w:rsid w:val="00A9489B"/>
    <w:rPr>
      <w:rFonts w:asciiTheme="minorHAnsi" w:hAnsiTheme="minorHAnsi" w:cstheme="minorHAnsi"/>
      <w:color w:val="D41B5A"/>
    </w:rPr>
  </w:style>
  <w:style w:type="character" w:customStyle="1" w:styleId="Heading1Char">
    <w:name w:val="Heading 1 Char"/>
    <w:aliases w:val="Numbers Char"/>
    <w:basedOn w:val="DefaultParagraphFont"/>
    <w:link w:val="Heading1"/>
    <w:uiPriority w:val="9"/>
    <w:rsid w:val="003A22A1"/>
    <w:rPr>
      <w:rFonts w:ascii="Museo Sans 700" w:hAnsi="Museo Sans 700" w:cs="Museo Sans 700"/>
      <w:b/>
      <w:color w:val="83105D"/>
      <w:sz w:val="18"/>
      <w:szCs w:val="18"/>
    </w:rPr>
  </w:style>
  <w:style w:type="character" w:customStyle="1" w:styleId="NoParagraphStyleChar">
    <w:name w:val="[No Paragraph Style] Char"/>
    <w:basedOn w:val="DefaultParagraphFont"/>
    <w:link w:val="NoParagraphStyle"/>
    <w:rsid w:val="0085663D"/>
    <w:rPr>
      <w:rFonts w:ascii="Museo Sans 700" w:hAnsi="Museo Sans 700"/>
      <w:color w:val="000000"/>
      <w:sz w:val="24"/>
      <w:szCs w:val="24"/>
    </w:rPr>
  </w:style>
  <w:style w:type="character" w:customStyle="1" w:styleId="TableCopy-8ptFramework-StylesChar">
    <w:name w:val="Table Copy-8pt (Framework - Styles) Char"/>
    <w:basedOn w:val="NoParagraphStyleChar"/>
    <w:link w:val="TableCopy-8ptFramework-Styles"/>
    <w:uiPriority w:val="99"/>
    <w:rsid w:val="0085663D"/>
    <w:rPr>
      <w:rFonts w:ascii="Museo Sans 300" w:hAnsi="Museo Sans 300" w:cs="Museo Sans 300"/>
      <w:color w:val="404041"/>
      <w:sz w:val="18"/>
      <w:szCs w:val="18"/>
    </w:rPr>
  </w:style>
  <w:style w:type="character" w:customStyle="1" w:styleId="IndicatorsChar">
    <w:name w:val="Indicators Char"/>
    <w:basedOn w:val="TableCopy-8ptFramework-StylesChar"/>
    <w:link w:val="Indicators"/>
    <w:rsid w:val="00A9489B"/>
    <w:rPr>
      <w:rFonts w:ascii="Museo Sans 300" w:hAnsi="Museo Sans 300" w:cstheme="minorHAnsi"/>
      <w:color w:val="D41B5A"/>
      <w:sz w:val="18"/>
      <w:szCs w:val="18"/>
    </w:rPr>
  </w:style>
  <w:style w:type="paragraph" w:styleId="Title">
    <w:name w:val="Title"/>
    <w:basedOn w:val="Indicators"/>
    <w:next w:val="Normal"/>
    <w:link w:val="TitleChar"/>
    <w:uiPriority w:val="10"/>
    <w:qFormat/>
    <w:rsid w:val="00D46623"/>
    <w:rPr>
      <w:sz w:val="46"/>
    </w:rPr>
  </w:style>
  <w:style w:type="character" w:customStyle="1" w:styleId="TitleChar">
    <w:name w:val="Title Char"/>
    <w:basedOn w:val="DefaultParagraphFont"/>
    <w:link w:val="Title"/>
    <w:uiPriority w:val="10"/>
    <w:rsid w:val="00D46623"/>
    <w:rPr>
      <w:rFonts w:ascii="Museo Sans 500" w:hAnsi="Museo Sans 500" w:cs="Museo Sans 500"/>
      <w:color w:val="D41B5A"/>
      <w:sz w:val="46"/>
      <w:szCs w:val="18"/>
    </w:rPr>
  </w:style>
  <w:style w:type="character" w:customStyle="1" w:styleId="Heading2Char">
    <w:name w:val="Heading 2 Char"/>
    <w:basedOn w:val="DefaultParagraphFont"/>
    <w:link w:val="Heading2"/>
    <w:uiPriority w:val="9"/>
    <w:rsid w:val="00D46623"/>
    <w:rPr>
      <w:rFonts w:ascii="Museo Sans 700" w:hAnsi="Museo Sans 700" w:cs="Museo Sans 700"/>
      <w:color w:val="404041"/>
      <w:sz w:val="24"/>
      <w:szCs w:val="24"/>
    </w:rPr>
  </w:style>
  <w:style w:type="paragraph" w:styleId="Header">
    <w:name w:val="header"/>
    <w:basedOn w:val="Normal"/>
    <w:link w:val="HeaderChar"/>
    <w:uiPriority w:val="99"/>
    <w:unhideWhenUsed/>
    <w:rsid w:val="004F793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F7937"/>
    <w:rPr>
      <w:rFonts w:ascii="Museo Sans 300" w:hAnsi="Museo Sans 300" w:cs="Museo Sans 300"/>
      <w:color w:val="404041"/>
      <w:sz w:val="18"/>
      <w:szCs w:val="18"/>
    </w:rPr>
  </w:style>
  <w:style w:type="paragraph" w:styleId="Footer">
    <w:name w:val="footer"/>
    <w:basedOn w:val="Normal"/>
    <w:link w:val="FooterChar"/>
    <w:uiPriority w:val="99"/>
    <w:unhideWhenUsed/>
    <w:rsid w:val="004F793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F7937"/>
    <w:rPr>
      <w:rFonts w:ascii="Museo Sans 300" w:hAnsi="Museo Sans 300" w:cs="Museo Sans 300"/>
      <w:color w:val="404041"/>
      <w:sz w:val="18"/>
      <w:szCs w:val="18"/>
    </w:rPr>
  </w:style>
  <w:style w:type="character" w:styleId="CommentReference">
    <w:name w:val="annotation reference"/>
    <w:basedOn w:val="DefaultParagraphFont"/>
    <w:uiPriority w:val="99"/>
    <w:semiHidden/>
    <w:unhideWhenUsed/>
    <w:rsid w:val="00E44B48"/>
    <w:rPr>
      <w:sz w:val="16"/>
      <w:szCs w:val="16"/>
    </w:rPr>
  </w:style>
  <w:style w:type="paragraph" w:styleId="CommentText">
    <w:name w:val="annotation text"/>
    <w:basedOn w:val="Normal"/>
    <w:link w:val="CommentTextChar"/>
    <w:uiPriority w:val="99"/>
    <w:semiHidden/>
    <w:unhideWhenUsed/>
    <w:rsid w:val="00E44B48"/>
    <w:pPr>
      <w:spacing w:line="240" w:lineRule="auto"/>
    </w:pPr>
    <w:rPr>
      <w:sz w:val="20"/>
      <w:szCs w:val="20"/>
    </w:rPr>
  </w:style>
  <w:style w:type="character" w:customStyle="1" w:styleId="CommentTextChar">
    <w:name w:val="Comment Text Char"/>
    <w:basedOn w:val="DefaultParagraphFont"/>
    <w:link w:val="CommentText"/>
    <w:uiPriority w:val="99"/>
    <w:semiHidden/>
    <w:rsid w:val="00E44B48"/>
    <w:rPr>
      <w:rFonts w:cstheme="minorHAnsi"/>
      <w:color w:val="404041"/>
      <w:sz w:val="20"/>
      <w:szCs w:val="20"/>
    </w:rPr>
  </w:style>
  <w:style w:type="paragraph" w:styleId="CommentSubject">
    <w:name w:val="annotation subject"/>
    <w:basedOn w:val="CommentText"/>
    <w:next w:val="CommentText"/>
    <w:link w:val="CommentSubjectChar"/>
    <w:uiPriority w:val="99"/>
    <w:semiHidden/>
    <w:unhideWhenUsed/>
    <w:rsid w:val="00E44B48"/>
    <w:rPr>
      <w:b/>
      <w:bCs/>
    </w:rPr>
  </w:style>
  <w:style w:type="character" w:customStyle="1" w:styleId="CommentSubjectChar">
    <w:name w:val="Comment Subject Char"/>
    <w:basedOn w:val="CommentTextChar"/>
    <w:link w:val="CommentSubject"/>
    <w:uiPriority w:val="99"/>
    <w:semiHidden/>
    <w:rsid w:val="00E44B48"/>
    <w:rPr>
      <w:rFonts w:cstheme="minorHAnsi"/>
      <w:b/>
      <w:bCs/>
      <w:color w:val="404041"/>
      <w:sz w:val="20"/>
      <w:szCs w:val="20"/>
    </w:rPr>
  </w:style>
  <w:style w:type="paragraph" w:styleId="BalloonText">
    <w:name w:val="Balloon Text"/>
    <w:basedOn w:val="Normal"/>
    <w:link w:val="BalloonTextChar"/>
    <w:uiPriority w:val="99"/>
    <w:semiHidden/>
    <w:unhideWhenUsed/>
    <w:rsid w:val="00E44B48"/>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4B48"/>
    <w:rPr>
      <w:rFonts w:ascii="Segoe UI" w:hAnsi="Segoe UI" w:cs="Segoe UI"/>
      <w:color w:val="404041"/>
      <w:sz w:val="18"/>
      <w:szCs w:val="18"/>
    </w:rPr>
  </w:style>
  <w:style w:type="character" w:styleId="Hyperlink">
    <w:name w:val="Hyperlink"/>
    <w:basedOn w:val="DefaultParagraphFont"/>
    <w:uiPriority w:val="99"/>
    <w:unhideWhenUsed/>
    <w:rsid w:val="008F1499"/>
    <w:rPr>
      <w:color w:val="0563C1" w:themeColor="hyperlink"/>
      <w:u w:val="single"/>
    </w:rPr>
  </w:style>
  <w:style w:type="character" w:styleId="UnresolvedMention">
    <w:name w:val="Unresolved Mention"/>
    <w:basedOn w:val="DefaultParagraphFont"/>
    <w:uiPriority w:val="99"/>
    <w:semiHidden/>
    <w:unhideWhenUsed/>
    <w:rsid w:val="008F1499"/>
    <w:rPr>
      <w:color w:val="605E5C"/>
      <w:shd w:val="clear" w:color="auto" w:fill="E1DFDD"/>
    </w:rPr>
  </w:style>
  <w:style w:type="character" w:styleId="FollowedHyperlink">
    <w:name w:val="FollowedHyperlink"/>
    <w:basedOn w:val="DefaultParagraphFont"/>
    <w:uiPriority w:val="99"/>
    <w:semiHidden/>
    <w:unhideWhenUsed/>
    <w:rsid w:val="008F1499"/>
    <w:rPr>
      <w:color w:val="954F72" w:themeColor="followedHyperlink"/>
      <w:u w:val="single"/>
    </w:rPr>
  </w:style>
  <w:style w:type="paragraph" w:customStyle="1" w:styleId="Heading1A">
    <w:name w:val="Heading 1A"/>
    <w:basedOn w:val="Title"/>
    <w:qFormat/>
    <w:rsid w:val="00B136EC"/>
    <w:pPr>
      <w:spacing w:after="120" w:line="320" w:lineRule="atLeast"/>
      <w:outlineLvl w:val="0"/>
    </w:pPr>
    <w:rPr>
      <w:b/>
      <w:noProof/>
      <w:lang w:val="fr-CA"/>
    </w:rPr>
  </w:style>
  <w:style w:type="paragraph" w:customStyle="1" w:styleId="Heading2A">
    <w:name w:val="Heading 2A"/>
    <w:basedOn w:val="Title"/>
    <w:qFormat/>
    <w:rsid w:val="00B136EC"/>
    <w:pPr>
      <w:spacing w:after="120" w:line="320" w:lineRule="atLeast"/>
      <w:outlineLvl w:val="1"/>
    </w:pPr>
    <w:rPr>
      <w:b/>
      <w:bCs/>
      <w:noProof/>
      <w:color w:val="7C2855"/>
      <w:sz w:val="32"/>
      <w:szCs w:val="10"/>
      <w:lang w:val="fr-CA"/>
    </w:rPr>
  </w:style>
  <w:style w:type="paragraph" w:customStyle="1" w:styleId="Heading-ColumnA">
    <w:name w:val="Heading - Column A"/>
    <w:basedOn w:val="Heading2"/>
    <w:qFormat/>
    <w:rsid w:val="00590ECA"/>
    <w:rPr>
      <w:rFonts w:asciiTheme="minorHAnsi" w:hAnsiTheme="minorHAnsi" w:cstheme="minorHAnsi"/>
      <w:b/>
      <w:bCs/>
      <w:noProof/>
      <w:lang w:val="fr-CA"/>
    </w:rPr>
  </w:style>
  <w:style w:type="paragraph" w:customStyle="1" w:styleId="Heading-RowA">
    <w:name w:val="Heading - Row A"/>
    <w:basedOn w:val="Heading1"/>
    <w:qFormat/>
    <w:rsid w:val="00751B6C"/>
    <w:rPr>
      <w:rFonts w:asciiTheme="minorHAnsi" w:hAnsiTheme="minorHAnsi" w:cstheme="minorHAnsi"/>
      <w:noProof/>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qualitypatientsafety.ca"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4798FBA6AB9D4AAF65E24687E852A1" ma:contentTypeVersion="1" ma:contentTypeDescription="Create a new document." ma:contentTypeScope="" ma:versionID="24d21b4475c7be5fe4bb5d65e2e71d3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C0BFA-4806-4119-B66F-B2C1FCF96D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086403-AFC9-4B12-A6A6-699D478A6036}">
  <ds:schemaRefs>
    <ds:schemaRef ds:uri="http://schemas.microsoft.com/sharepoint/v3/contenttype/forms"/>
  </ds:schemaRefs>
</ds:datastoreItem>
</file>

<file path=customXml/itemProps3.xml><?xml version="1.0" encoding="utf-8"?>
<ds:datastoreItem xmlns:ds="http://schemas.openxmlformats.org/officeDocument/2006/customXml" ds:itemID="{D5056D6E-170A-4522-BA5E-10CC387E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mise en correspondance</dc:title>
  <dc:subject/>
  <dc:creator>Hailey Riendeau</dc:creator>
  <cp:keywords/>
  <dc:description/>
  <cp:lastModifiedBy>Nicolas Di Ilio</cp:lastModifiedBy>
  <cp:revision>16</cp:revision>
  <dcterms:created xsi:type="dcterms:W3CDTF">2023-04-21T19:19:00Z</dcterms:created>
  <dcterms:modified xsi:type="dcterms:W3CDTF">2023-04-21T19:45:00Z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0x010100114798FBA6AB9D4AAF65E24687E852A1</vt:lpwstr>
  </property>
</Properties>
</file>